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2"/>
        <w:bidi w:val="0"/>
        <w:spacing w:before="200" w:after="12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КЛИНИЧЕСКИЕ РЕКОМЕНДАЦИИ (ПРОТОКОЛЫ ЛЕЧЕНИЯ)</w:t>
      </w:r>
    </w:p>
    <w:p>
      <w:pPr>
        <w:pStyle w:val="1"/>
        <w:widowControl/>
        <w:pBdr/>
        <w:bidi w:val="0"/>
        <w:spacing w:before="0" w:after="150"/>
        <w:ind w:left="0" w:right="0" w:hanging="0"/>
        <w:jc w:val="center"/>
        <w:rPr>
          <w:rFonts w:ascii="ALSStory;Arial" w:hAnsi="ALSStory;Arial"/>
          <w:b w:val="false"/>
          <w:i w:val="false"/>
          <w:caps w:val="false"/>
          <w:smallCaps w:val="false"/>
          <w:color w:val="000000"/>
          <w:spacing w:val="0"/>
          <w:sz w:val="32"/>
        </w:rPr>
      </w:pPr>
      <w:r>
        <w:rPr>
          <w:rFonts w:ascii="ALSStory;Arial" w:hAnsi="ALSStory;Arial"/>
          <w:b w:val="false"/>
          <w:i w:val="false"/>
          <w:caps w:val="false"/>
          <w:smallCaps w:val="false"/>
          <w:color w:val="000000"/>
          <w:spacing w:val="0"/>
          <w:sz w:val="32"/>
        </w:rPr>
        <w:t>ПЕРЕЛОМ НИЖНЕЙ ЧЕЛЮСТИ</w:t>
      </w:r>
    </w:p>
    <w:p>
      <w:pPr>
        <w:pStyle w:val="Style17"/>
        <w:widowControl/>
        <w:pBdr/>
        <w:bidi w:val="0"/>
        <w:spacing w:lineRule="atLeast" w:line="240" w:before="0" w:after="120"/>
        <w:ind w:left="0" w:right="0" w:hanging="0"/>
        <w:jc w:val="right"/>
        <w:rPr/>
      </w:pPr>
      <w:r>
        <w:rPr>
          <w:rStyle w:val="Style11"/>
          <w:rFonts w:ascii="ALSStory;Arial" w:hAnsi="ALSStory;Arial"/>
          <w:b w:val="false"/>
          <w:i w:val="false"/>
          <w:caps w:val="false"/>
          <w:smallCaps w:val="false"/>
          <w:color w:val="000000"/>
          <w:spacing w:val="0"/>
          <w:sz w:val="21"/>
        </w:rPr>
        <w:t>Утверждены Постановлением № 13</w:t>
        <w:br/>
        <w:t>Совета Ассоциации общественных объединений</w:t>
        <w:br/>
        <w:t>«Стоматологическая ассоциация России»</w:t>
        <w:br/>
        <w:t>от 19 апреля 2016 года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(протоколы лечения) «Перелом нижней челюсти» разработаны Московским Государственным медико-стоматологическим университетом им. А. И. Евдокимова Минздрава РФ (Дробышев А.Ю., Малый А.Ю., Митерев А.А., Бирюлев А.А., Меликов Э.А., Гзюнова Ю.А., Ругина И.А., Кечерукова Д.Н.</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Рецензенты: Байриков И.М., Бобылев Н.Г., Волков Е.Б., Минкин А.У., Покидько О.А., Трунин Д.А., Ушаков Р.В., Фомичев И.В., Яременко А.И.</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I. ОБЛАСТЬ ПРИМЕНЕНИЯ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(протоколы лечения) «Перелом нижней челюсти» предназначены для применения в системе здравоохранения Российской Федерации.</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II. НОРМАТИВНЫЕ ССЫЛКИ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настоящих Клинических рекомендациях (протоколы лечения) «Перелом нижней челюсти» использованы ссылки на следующие документы:</w:t>
      </w:r>
    </w:p>
    <w:p>
      <w:pPr>
        <w:pStyle w:val="Style17"/>
        <w:widowControl/>
        <w:numPr>
          <w:ilvl w:val="0"/>
          <w:numId w:val="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Постановление Правительства Российской Федерации от 05.11.97 № 1387 «О мерах по стабилизации и развитию здравоохранения и медицинской науки в Российской Федерации» (Собрание законодательства Российской Федерации, 1997, № 46, ст. 5312).</w:t>
      </w:r>
    </w:p>
    <w:p>
      <w:pPr>
        <w:pStyle w:val="Style17"/>
        <w:widowControl/>
        <w:numPr>
          <w:ilvl w:val="0"/>
          <w:numId w:val="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Приказ Минздравсоцразвития России № 1664н от 27 декабря 2011 г. «Об утверждении номенклатуры медицинских услуг» (ред. От 10.12.2014г.).</w:t>
      </w:r>
    </w:p>
    <w:p>
      <w:pPr>
        <w:pStyle w:val="Style17"/>
        <w:widowControl/>
        <w:numPr>
          <w:ilvl w:val="0"/>
          <w:numId w:val="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Федеральный закон от 21 ноября 2011г. №323-ФЗ «Об основах охраны здоровья граждан в Российской Федерации» (ред. от 29.12.2015г. с изм. и доп. вступившими в силу с 01.01.2016г.) (Собрание законодательства Российской Федерации).</w:t>
      </w:r>
    </w:p>
    <w:p>
      <w:pPr>
        <w:pStyle w:val="Style17"/>
        <w:widowControl/>
        <w:numPr>
          <w:ilvl w:val="0"/>
          <w:numId w:val="1"/>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Приказ Минздравсоцразвития Росии № 1496 н от 07 декабря 2011 г. «Об утверждении порядка оказание медпомощи взрослому населению при стоматологических заболеваниях».</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III. ОБОЗНАЧЕНИЯ И СОКРАЩЕНИЯ</w:t>
      </w:r>
    </w:p>
    <w:p>
      <w:pPr>
        <w:pStyle w:val="Style17"/>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В настоящих Клинических рекомендациях (протоколах лечения) «Перелом нижней челюсти» использованы следующие обозначения и сокращения</w:t>
      </w:r>
      <w:r>
        <w:rPr>
          <w:rStyle w:val="Style12"/>
          <w:rFonts w:ascii="ALSStory;Arial" w:hAnsi="ALSStory;Arial"/>
          <w:b w:val="false"/>
          <w:i w:val="false"/>
          <w:caps w:val="false"/>
          <w:smallCaps w:val="false"/>
          <w:color w:val="000000"/>
          <w:spacing w:val="0"/>
          <w:sz w:val="21"/>
        </w:rPr>
        <w:t>:</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МКБ-10 – Международная статистическая классификация болезней и проблем, связанных со здоровьем Всемирной организации здравоохранения десятого пересмотра.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МКБ-С – Международная классификация стоматологических болезней на основе МКБ-10.</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IV. ОБЩИЕ ПОЛОЖЕНИЯ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(протоколы лечения) «Перелом нижней челюсти» разработаны для решения следующих задач:</w:t>
      </w:r>
    </w:p>
    <w:p>
      <w:pPr>
        <w:pStyle w:val="Style17"/>
        <w:widowControl/>
        <w:numPr>
          <w:ilvl w:val="0"/>
          <w:numId w:val="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установление единых требований к порядку диагностики и лечения больных с переломами нижней челюсти;</w:t>
      </w:r>
    </w:p>
    <w:p>
      <w:pPr>
        <w:pStyle w:val="Style17"/>
        <w:widowControl/>
        <w:numPr>
          <w:ilvl w:val="0"/>
          <w:numId w:val="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унификация разработки базовых программ обязательного медицинского страхования и оптимизация медицинской помощи больным с переломом нижней челюсти;</w:t>
      </w:r>
    </w:p>
    <w:p>
      <w:pPr>
        <w:pStyle w:val="Style17"/>
        <w:widowControl/>
        <w:numPr>
          <w:ilvl w:val="0"/>
          <w:numId w:val="2"/>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обеспечение оптимальных объемов, доступности и качества медицинской помощи, оказываемой пациенту в медицинском учреждении.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Область распространения настоящих Клинических рекомендаций (протоколов лечения) — стоматологические медицинские организации.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настоящих Клинических рекомендациях (протоколах лечения) используется шкала убедительности доказательств данных:</w:t>
      </w:r>
    </w:p>
    <w:p>
      <w:pPr>
        <w:pStyle w:val="Style17"/>
        <w:widowControl/>
        <w:numPr>
          <w:ilvl w:val="0"/>
          <w:numId w:val="3"/>
        </w:numPr>
        <w:tabs>
          <w:tab w:val="clear" w:pos="709"/>
          <w:tab w:val="left" w:pos="709" w:leader="none"/>
        </w:tabs>
        <w:bidi w:val="0"/>
        <w:spacing w:before="0" w:after="0"/>
        <w:ind w:left="709" w:hanging="0"/>
        <w:jc w:val="left"/>
        <w:rPr/>
      </w:pPr>
      <w:r>
        <w:rPr>
          <w:rStyle w:val="Style12"/>
          <w:rFonts w:ascii="ALSStory;Arial" w:hAnsi="ALSStory;Arial"/>
          <w:b w:val="false"/>
          <w:i w:val="false"/>
          <w:caps w:val="false"/>
          <w:smallCaps w:val="false"/>
          <w:color w:val="000000"/>
          <w:spacing w:val="0"/>
          <w:sz w:val="21"/>
        </w:rPr>
        <w:t>Доказательства убедительны: </w:t>
      </w:r>
      <w:r>
        <w:rPr>
          <w:rFonts w:ascii="ALSStory;Arial" w:hAnsi="ALSStory;Arial"/>
          <w:b w:val="false"/>
          <w:i w:val="false"/>
          <w:caps w:val="false"/>
          <w:smallCaps w:val="false"/>
          <w:color w:val="000000"/>
          <w:spacing w:val="0"/>
          <w:sz w:val="21"/>
        </w:rPr>
        <w:t>есть веские доказательства предлагаемому утверждению.</w:t>
      </w:r>
    </w:p>
    <w:p>
      <w:pPr>
        <w:pStyle w:val="Style17"/>
        <w:widowControl/>
        <w:numPr>
          <w:ilvl w:val="0"/>
          <w:numId w:val="3"/>
        </w:numPr>
        <w:tabs>
          <w:tab w:val="clear" w:pos="709"/>
          <w:tab w:val="left" w:pos="709" w:leader="none"/>
        </w:tabs>
        <w:bidi w:val="0"/>
        <w:spacing w:before="0" w:after="0"/>
        <w:ind w:left="709" w:hanging="0"/>
        <w:jc w:val="left"/>
        <w:rPr/>
      </w:pPr>
      <w:r>
        <w:rPr>
          <w:rStyle w:val="Style12"/>
          <w:rFonts w:ascii="ALSStory;Arial" w:hAnsi="ALSStory;Arial"/>
          <w:b w:val="false"/>
          <w:i w:val="false"/>
          <w:caps w:val="false"/>
          <w:smallCaps w:val="false"/>
          <w:color w:val="000000"/>
          <w:spacing w:val="0"/>
          <w:sz w:val="21"/>
        </w:rPr>
        <w:t>Относительная убедительность доказательств</w:t>
      </w:r>
      <w:r>
        <w:rPr>
          <w:rFonts w:ascii="ALSStory;Arial" w:hAnsi="ALSStory;Arial"/>
          <w:b w:val="false"/>
          <w:i w:val="false"/>
          <w:caps w:val="false"/>
          <w:smallCaps w:val="false"/>
          <w:color w:val="000000"/>
          <w:spacing w:val="0"/>
          <w:sz w:val="21"/>
        </w:rPr>
        <w:t>: есть достаточно доказательств в пользу того, чтобы рекомендовать данное предложение.</w:t>
      </w:r>
    </w:p>
    <w:p>
      <w:pPr>
        <w:pStyle w:val="Style17"/>
        <w:widowControl/>
        <w:numPr>
          <w:ilvl w:val="0"/>
          <w:numId w:val="3"/>
        </w:numPr>
        <w:tabs>
          <w:tab w:val="clear" w:pos="709"/>
          <w:tab w:val="left" w:pos="709" w:leader="none"/>
        </w:tabs>
        <w:bidi w:val="0"/>
        <w:spacing w:before="0" w:after="0"/>
        <w:ind w:left="709" w:hanging="0"/>
        <w:jc w:val="left"/>
        <w:rPr/>
      </w:pPr>
      <w:r>
        <w:rPr>
          <w:rStyle w:val="Style12"/>
          <w:rFonts w:ascii="ALSStory;Arial" w:hAnsi="ALSStory;Arial"/>
          <w:b w:val="false"/>
          <w:i w:val="false"/>
          <w:caps w:val="false"/>
          <w:smallCaps w:val="false"/>
          <w:color w:val="000000"/>
          <w:spacing w:val="0"/>
          <w:sz w:val="21"/>
        </w:rPr>
        <w:t>Достаточных доказательств нет</w:t>
      </w:r>
      <w:r>
        <w:rPr>
          <w:rFonts w:ascii="ALSStory;Arial" w:hAnsi="ALSStory;Arial"/>
          <w:b w:val="false"/>
          <w:i w:val="false"/>
          <w:caps w:val="false"/>
          <w:smallCaps w:val="false"/>
          <w:color w:val="000000"/>
          <w:spacing w:val="0"/>
          <w:sz w:val="21"/>
        </w:rPr>
        <w:t>: имеющихся доказательств недостаточно для вынесения рекомендации, но рекомендации могут быть даны с учетом иных обстоятельств.</w:t>
      </w:r>
    </w:p>
    <w:p>
      <w:pPr>
        <w:pStyle w:val="Style17"/>
        <w:widowControl/>
        <w:numPr>
          <w:ilvl w:val="0"/>
          <w:numId w:val="3"/>
        </w:numPr>
        <w:tabs>
          <w:tab w:val="clear" w:pos="709"/>
          <w:tab w:val="left" w:pos="709" w:leader="none"/>
        </w:tabs>
        <w:bidi w:val="0"/>
        <w:spacing w:before="0" w:after="0"/>
        <w:ind w:left="709" w:hanging="0"/>
        <w:jc w:val="left"/>
        <w:rPr/>
      </w:pPr>
      <w:r>
        <w:rPr>
          <w:rStyle w:val="Style12"/>
          <w:rFonts w:ascii="ALSStory;Arial" w:hAnsi="ALSStory;Arial"/>
          <w:b w:val="false"/>
          <w:i w:val="false"/>
          <w:caps w:val="false"/>
          <w:smallCaps w:val="false"/>
          <w:color w:val="000000"/>
          <w:spacing w:val="0"/>
          <w:sz w:val="21"/>
        </w:rPr>
        <w:t>D.</w:t>
      </w:r>
      <w:r>
        <w:rPr>
          <w:rFonts w:ascii="ALSStory;Arial" w:hAnsi="ALSStory;Arial"/>
          <w:b w:val="false"/>
          <w:i w:val="false"/>
          <w:caps w:val="false"/>
          <w:smallCaps w:val="false"/>
          <w:color w:val="000000"/>
          <w:spacing w:val="0"/>
          <w:sz w:val="21"/>
        </w:rPr>
        <w:t> </w:t>
      </w:r>
      <w:r>
        <w:rPr>
          <w:rStyle w:val="Style12"/>
          <w:rFonts w:ascii="ALSStory;Arial" w:hAnsi="ALSStory;Arial"/>
          <w:b w:val="false"/>
          <w:i w:val="false"/>
          <w:caps w:val="false"/>
          <w:smallCaps w:val="false"/>
          <w:color w:val="000000"/>
          <w:spacing w:val="0"/>
          <w:sz w:val="21"/>
        </w:rPr>
        <w:t>Достаточно отрицательных доказательств</w:t>
      </w:r>
      <w:r>
        <w:rPr>
          <w:rFonts w:ascii="ALSStory;Arial" w:hAnsi="ALSStory;Arial"/>
          <w:b w:val="false"/>
          <w:i w:val="false"/>
          <w:caps w:val="false"/>
          <w:smallCaps w:val="false"/>
          <w:color w:val="000000"/>
          <w:spacing w:val="0"/>
          <w:sz w:val="21"/>
        </w:rPr>
        <w:t>: имеется достаточно доказательств, чтобы рекомендовать отказаться от применения в определенных условиях данного лекарственного средства, материала, метода, технологии.</w:t>
      </w:r>
    </w:p>
    <w:p>
      <w:pPr>
        <w:pStyle w:val="Style17"/>
        <w:widowControl/>
        <w:numPr>
          <w:ilvl w:val="0"/>
          <w:numId w:val="3"/>
        </w:numPr>
        <w:tabs>
          <w:tab w:val="clear" w:pos="709"/>
          <w:tab w:val="left" w:pos="709" w:leader="none"/>
        </w:tabs>
        <w:bidi w:val="0"/>
        <w:spacing w:before="0" w:after="0"/>
        <w:ind w:left="709" w:hanging="0"/>
        <w:jc w:val="left"/>
        <w:rPr/>
      </w:pPr>
      <w:r>
        <w:rPr>
          <w:rStyle w:val="Style12"/>
          <w:rFonts w:ascii="ALSStory;Arial" w:hAnsi="ALSStory;Arial"/>
          <w:b w:val="false"/>
          <w:i w:val="false"/>
          <w:caps w:val="false"/>
          <w:smallCaps w:val="false"/>
          <w:color w:val="000000"/>
          <w:spacing w:val="0"/>
          <w:sz w:val="21"/>
        </w:rPr>
        <w:t>Веские отрицательные доказательства</w:t>
      </w:r>
      <w:r>
        <w:rPr>
          <w:rFonts w:ascii="ALSStory;Arial" w:hAnsi="ALSStory;Arial"/>
          <w:b w:val="false"/>
          <w:i w:val="false"/>
          <w:caps w:val="false"/>
          <w:smallCaps w:val="false"/>
          <w:color w:val="000000"/>
          <w:spacing w:val="0"/>
          <w:sz w:val="21"/>
        </w:rPr>
        <w:t>: имеются достаточно убедительные доказательства того, чтобы исключить лекарственное средство, метод, методику из рекомендаций.</w:t>
      </w:r>
    </w:p>
    <w:p>
      <w:pPr>
        <w:pStyle w:val="Style17"/>
        <w:widowControl/>
        <w:numPr>
          <w:ilvl w:val="0"/>
          <w:numId w:val="3"/>
        </w:numPr>
        <w:tabs>
          <w:tab w:val="clear" w:pos="709"/>
          <w:tab w:val="left" w:pos="709" w:leader="none"/>
        </w:tabs>
        <w:bidi w:val="0"/>
        <w:ind w:left="709" w:hanging="0"/>
        <w:jc w:val="left"/>
        <w:rPr/>
      </w:pPr>
      <w:r>
        <w:rPr>
          <w:rStyle w:val="Style12"/>
          <w:rFonts w:ascii="ALSStory;Arial" w:hAnsi="ALSStory;Arial"/>
          <w:b w:val="false"/>
          <w:i w:val="false"/>
          <w:caps w:val="false"/>
          <w:smallCaps w:val="false"/>
          <w:color w:val="000000"/>
          <w:spacing w:val="0"/>
          <w:sz w:val="21"/>
        </w:rPr>
        <w:t>V. ВЕДЕНИЕ КЛИНИЧЕСКИХ РЕКОМЕНДАЦИЙ (ПРОТОКОЛОВ ЛЕЧЕНИЯ)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Ведение Клинических рекомендаций (протоколов лечения) «Перелом нижней челюсти» осуществляется Московским Государственным медико-стоматологическим университетом им. А. И. Евдокимова Министерства здравоохранения Российской Федерации (ГБОУ ВПО МГМСУ им. А. И. Евдокимова Минздрава РФ). Система ведения предусматривает взаимодействие Московского государственного медико-стоматологического университета им. А.И. Евдокимова со всеми заинтересованными организациями.</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VI. ОБЩИЕ ВОПРОСЫ</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Перелом нижней челюсти - это нарушение целостности кости, наступающее внезапно под влиянием того или иного фактора приложенного усилия. Переломы костей лицевого</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черепа составляют около 3 % от числа повреждений костей скелета человека. Переломы нижней челюсти встречаются наиболее часто, составляя до 80 % от общего числа повреждений костей лицевого скелета. Характер переломов нижней челюсти обусловлен особенностями ее анатомического строения.</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ОПРЕДЕЛЕНИЕ ПОНЯТИЯ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Нижняя челюсть - это непарная подвижная кость, подковообразной формы, состоящая из двух симметричных половин, в каждой из которых выделяют тело и ветвь.</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Тело нижней челюсти имеет основание и альвеолярную часть. В толще тела, в нижнечелюстном канале, располагаются нижнеальвеолярный нерв, артерия и вена. Начинается нижнечелюстной канал на внутренней поверхности ветви и заканчивается подбородочным отверстием, которое расположено в области верхушек малых коренных зубов.</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Ветвь нижней челюсти имеет наружную и внутреннюю поверхности, передний и задний края, переходящие в венечный и в мыщелковый отростки, которые разделены вырезкой. Передний край ветви переходит в венечный отросток, к которому прикрепляется височная мышца. Мыщелковый отросток имеет основание, шейку, головку и служит для образования височно-нижнечелюстного сустава.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 нижней челюсти прикрепляются мышцы, которые поднимают и опускают ее. Мышцы, поднимающие нижнюю челюсть, это - жевательная мышца (m.masseter), которая прикрепляется к жевательной бугристости наружной поверхности ветви нижней челюсти; височная мышца (m.temporalis); медиальная крыловидная мышца (m.pterygoideus medialis) прикрепляется на внутренней поверхности угла нижней челюсти к крыловидной бугристости; и латеральная крыловидная мышца (m.pterygoideus lateralis) прикрепляется к суставной сумке и суставному диску височно-нижнечелюстного сустава.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Мышцы, опускающие нижнюю челюсть, это - переднее брюшко двубрюшной мышцы (m.digastricus) прикрепляется к большому рогу подъязычной кости; челюстно-подъязычная мышца (m.mylohyoideus) прикрепляется сухожильным швом от внутренней поверхности подбородка к телу подъязычной кости, подбородочно-подъязычная мышца (m.geniohyoideus) прикрепляется к телу подъязычной кости, подбородочно-язычная мышца (m.genioglossus) прикрепляется к язычной фасции на спинке языка и подъязычно-язычная мышца (m.hyoglossus) прикрепляется к язычной фасции по краям языка и его спинки.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переломе нижней челюсти функция этих мышц во многом обусловливает характер смещения отломков. Все мышцы парные и прикрепляются в симметричных точках. Мышцы, опускающие нижнюю челюсть, слабее мышц, поднимающих её.</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Нижняя челюсть объединяет поднимающие и опускающие мышцы в единую систему. Синхронность в её работе исчезает, когда целостность нижнечелюстной дуги нарушена и образуются два неодинаковых по размерам отломка. Жевательные мышцы каждой стороны (задняя группа) воздействуют на неравные по величине отломки разрозненно. В то же время мышцы, опускающие нижнюю челюсть (передняя группа), практически не разъединены. Они преодолевают сопротивление мышц, прикреплённых к большому отломку, и смещают его конец вниз. Смещение отломков тем значительнее, чем больше площадь прикрепления мышц на каждом из отломков.</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ЭТИОЛОГИЯ И ПАТОГЕНЕЗ</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Переломы нижней челюсти, возникающие вследствие действующей силы на неповрежденную кость, относятся к травматическим. Возникающие в результате повреждения кости патологическими процессами (опухоли, кисты, остеомиелит и т.д.) называются патологическими.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Травматические переломы, как правило, связаны с бытовой травмой (драки, падение с высоты и др., часто в состоянии алкогольного опьянения) – 48, 9%; транспортный травматизм - 20, 5 %; производственная травма – 15, 2%; спортивная травма – 10, 3%; огнестрельные переломы – 5%; ятрогенные – 0, 1%.</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Переломы нижней челюсти, которые сопровождаются разрывом мягких тканей лица и/или слизистой оболочки ротовой полости, являются открытыми, так как в случае смещения отломков слизистая оболочка альвеолярной части разрывается вместе с надкостницей, при этом щель перелома сообщается с полостью рта. Также, если перелом проходит через зубной ряд, то происходит разрыв периодонта, что приводит к вывиху или перелому корня зуба, тем самым костная рана всегда сообщается с полостью рта через периодонтальную щель, поэтому переломы тела нижней челюсти в пределах зубного ряда всегда открытые и первичноинфицированные. Т.е., всегда переломы нижней челюсти в пределах зубного ряда считаются открытыми, переломы в области ветви и отростков считаются закрытыми.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 нижней челюсти переломы могут быть прямые и отраженные. Под прямым переломом понимают его возникновение на месте приложения силы. Непрямой, или отраженный перелом возникает вследствие отражения силы на участке наибольшего изгиба, где нижнечелюстная кость бывает обычно истончена или ослаблена: это переломы</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основания шейки мыщелкового отростка, переломы на уровне ментального отверстия, угла или клыка. При этом прямой перелом нижней челюсти чаще возникает в месте приложения силы на нешироком участке, а непрямой - если сила приложена на значительной площади костной ткани.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 количеству линий перелома выделяют одиночные, двойные и множественные переломы, которые могут располагаться с одной стороны челюсти -односторонние или с двух сторон - двусторонние.</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Механизм возникновения переломов нижней челюсти это – перегиб, сдвиг, сжатие, отрыв и огнестрельное ранение. Нижняя челюсть при ударе испытывает высокое напряжение в области наиболее изогнутых и тонких участков. В этих «слабых» местах она ломается из-за перегиба.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зависимости от направления щели перелома, их подразделяют на продольный, поперечный, косой и зигзагообразный. Кроме того, перелом может быть крупно-и мелкооскольчатым.</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Продольный перелом ветви нижней челюсти возникает при ударе снизу вверх в область основания нижней челюсти, кпереди от угла, на узком участке в проекции венечного отростка. Этот участок сдвигается относительно другого участка этой кости, имеющего опору, тем самым происходит перелом по механизму сдвига.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нанесении удара снизу вверх по основанию тела нижней челюсти в области угла на широкой площади ветвь нижней челюсти, подвергается сжатию. Действующая и противодействующая силы направлены навстречу друг другу, таким образом, возникает перелом в поперечном направлении по механизму сжатия.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ударе, направленном сверху вниз в область подбородка и когда зубы плотно сжаты, происходит рефлекторное сокращение всех жевательных мышц. Мощная височная мышца, которая прикреплена к венечному отростку, может оторвать его от ветви челюсти, то есть возникнет перелом по механизму отрыва.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Смещение отломков нижней челюсти происходит вследствие:</w:t>
      </w:r>
    </w:p>
    <w:p>
      <w:pPr>
        <w:pStyle w:val="Style17"/>
        <w:widowControl/>
        <w:numPr>
          <w:ilvl w:val="0"/>
          <w:numId w:val="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сокращения прикреплённых к отломкам жевательных мышц;</w:t>
      </w:r>
    </w:p>
    <w:p>
      <w:pPr>
        <w:pStyle w:val="Style17"/>
        <w:widowControl/>
        <w:numPr>
          <w:ilvl w:val="0"/>
          <w:numId w:val="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продолжающегося действия приложенной силы;</w:t>
      </w:r>
    </w:p>
    <w:p>
      <w:pPr>
        <w:pStyle w:val="Style17"/>
        <w:widowControl/>
        <w:numPr>
          <w:ilvl w:val="0"/>
          <w:numId w:val="4"/>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собственной тяжести отломка.</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КЛИНИЧЕСКАЯ КАРТИНА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переломах нижней челюсти жалобы больных определяются характером и локализацией перелома.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Больные жалуются на отек в околочелюстных тканях, усиливающуюся боль в нижней челюсти при открывании и закрывании рта, на неправильное смыкание зубных рядов. Откусывание и пережёвывание пищи болезненно или невозможно. В некоторых случаях пациенты отмечают чувство онемения кожи в области подбородка и нижней губы. Также, пациенты могут отмечать головокружение, головную боль, тошноту или рвоту, при наличии сотрясения головного мозга, ушиба.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Собирая анамнез, врач должен выяснить, когда, где и при каких обстоятельствах получена травма. По клиническим признакам (сохранение сознания, контактность, характер дыхания, пульса, уровень артериального давления) оценивается общее состояние больного. Необходимо исключить повреждение других анатомических областей, особое внимание обращать на сочетанную травму челюсти и головного мозга, что может препятствовать началу оказания помощи по данным клиническим рекомендациям.</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обследовании определяется нарушение конфигурации лица за счёт отёка мягких тканей, гематомы, смещения подбородка в сторону от средней линии. На коже лица могут быть ссадины, кровоподтеки, раны. При пальпации нижней челюсти выявляется костный выступ, дефект кости или болезненная точка, чаще в области наиболее выраженной припухлости мягких тканей или гематомы. Выделяют два симптома: симптом прямой нагрузки – болезненность при нагрузке в области перелома и симптом непрямой нагрузки - появление болезненности в области перелома при приложении давления на подбородок по оси нижней челюсти.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Если в результате повреждения челюсти и смещения отломков происходит разрыв или травма нижнеальвеолярного нерва, то на стороне перелома в области кожи нижней губы и подбородка будет отсутствовать болевая чувствительность при пальпации и покалывании.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установления перелома мыщелкового отростка изучают объём движения головки в суставной впадине. Головки пальпируют во время движения челюсти, при этом наличие или отсутствие синхронного движения головок, недостаточность его амплитуды будет свидетельствовать в пользу перелома мыщелкового отростка.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 время открывания и закрывания рта определяется уменьшение амплитуды движения нижней челюсти, боль и смещение подбородка в сторону от средней линии (в сторону перелома). При двустороннем переломе ветви и мыщелкового отростка возможно несмыкание фронтальной группы зубов.</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полости рта окклюзионные взаимоотношения нарушены из-за смещения отломков. При этом зубы малого отломка будут контактировать с антагонистами, а на большем отломке контакт зубов с антагонистами будет отсутствовать почти на всём протяжении, кроме моляров. Перкуссия зубов в области перелома, болезненна.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Особый диагностический признак перелома тела нижней челюсти - образование гематомы не только в преддверии рта, но и с язычной стороны альвеолярной части. При ушибе мягких тканей она определяется только с вестибулярной стороны.</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 слизистой оболочке альвеолярной части может визуализироваться рваная рана, которая распространяется в межзубной промежуток (проекция щели перелома).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Абсолютно достоверным признаком перелома является положительный симптом подвижности отломков челюсти.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Данные клинической картины необходимо подтвердить результатами рентгенологического исследования. Рентгенограммы позволяют уточнить, топографию перелома, выраженность смещения отломков, наличие костных осколков, отношение корней зубов к линии перелома. Рентгенологическое исследование проводят в проекциях (прямой и/или боковой) ортопантомография, при необходимости компьютерная томография.</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КЛАССИФИКАЦИЯ ПЕРЕЛОМА НИЖНЕЙ ЧЕЛЮСТИ по МКБ-10.</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S02.6 - Перелом нижней челюсти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S02.60 - Перелом альвеолярного отростка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S02.61 - Перелом тела нижней челюсти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S02.62 - Перелом мыщелкового отростка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S02.63 - Перелом венечного отростка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S02.64 - Перелом ветви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S02.66 - Перелом угла</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ОБЩИЕ ПОДХОДЫ К ДИАГНОСТИКЕ ПЕРЕЛОМА НИЖНЕЙ ЧЕЛЮСТИ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Диагностика перелома нижней челюсти проводится путем сбора анамнеза, клинического осмотра и проведения дополнительных методов обследования (рентгенография) и направлена на определение наличия или отсутствия повреждения нижней челюсти, а также на выявление факторов, которые препятствуют немедленному началу лечения. Такими факторами могут быть:</w:t>
      </w:r>
    </w:p>
    <w:p>
      <w:pPr>
        <w:pStyle w:val="Style17"/>
        <w:widowControl/>
        <w:numPr>
          <w:ilvl w:val="0"/>
          <w:numId w:val="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непереносимости лекарственных препаратов и материалов, используемых на данном этапе лечения;</w:t>
      </w:r>
    </w:p>
    <w:p>
      <w:pPr>
        <w:pStyle w:val="Style17"/>
        <w:widowControl/>
        <w:numPr>
          <w:ilvl w:val="0"/>
          <w:numId w:val="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неадекватное психо-эмоциональное состояние пациента перед лечением и подозрение на алкогольное и/или наркотическое опьянение;</w:t>
      </w:r>
    </w:p>
    <w:p>
      <w:pPr>
        <w:pStyle w:val="Style17"/>
        <w:widowControl/>
        <w:numPr>
          <w:ilvl w:val="0"/>
          <w:numId w:val="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угрожающие жизни острое состояние/заболевание или обострение хронического заболевания (в том числе инфаркт миокарда, острое нарушение мозгового кровообращения и т.п.), развившееся до момента обращения за данной стоматологической помощью;</w:t>
      </w:r>
    </w:p>
    <w:p>
      <w:pPr>
        <w:pStyle w:val="Style17"/>
        <w:widowControl/>
        <w:numPr>
          <w:ilvl w:val="0"/>
          <w:numId w:val="5"/>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отказ пациента от лечения.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Главная задача при диагностике заключается в определении локализации, характера и тяжести травмы. В зависимости от поставленного диагноза составляется план комплексного лечения. При необходимости привлекаются специалисты другого профиля.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всех этапов диагностики пациенты могут быть госпитализированы в стационар для оперативной иммобилизации отломков нижней челюсти. Показаниями к госпитализации являются: невозможность сопоставить отломки нижней челюсти внутриротовым доступом и обеспечить надежную фиксацию на время консолидации, сочетанные травмы, социальные показания.</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ОБЩИЕ ПОДХОДЫ К ЛЕЧЕНИЮ ПЕРЕЛОМА НИЖНЕЙ ЧЕЛЮСТИ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Первая помощь заключается в профилактике кровотечения или борьбе с ним, и также асфиксией и шоком. Основные лечебные мероприятия заключаются в: репозиции - сопоставлении отломков в правильном положении под местной анестезией; иммобилизации - закреплении отломков в правильном положении; медикаментозном лечении – антибактериальной и противовоспалительной терапии, применение препаратов улучшающих микроциркуляцию и стимулирующих остеосинтез, антигистаминных препаратов, иммуностимуляторов, при необходимости применение противостолбнячной сыворотки; применении физических методов лечения с целью улучшения трофики тканей.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Различают консервативные (шинирование) и оперативные методы репозиции и иммобилизации отломков нижней челюсти. Оперативные методы лечения проводятся только в условиях стационара.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отсутствии зубов применяются ортопедические конструкции. Консервативные методы лечения бывают временные (транспортные) и постоянные (лечебные). Временная иммобилизация при транспортировке пациентов требует использования повязок, фиксирующих нижнюю челюсть к верхней челюсти или к своду черепа. Их подразделяют на внеротовые (подбородочная праща Померанцевой-Урбанской, бинтовая повязка, теменноподбородочная повязка Гиппократа и др.) и внутриротовые (межчелюстные лигатурные скрепления по Айви).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Лечебные методы подразделяются на шины внелабораторного (назубные стандартные и индивидуальные гнутые проволочные шины, шины Тигерштедта, шина Васильева) и лабораторного изготовления. К последним относятся различные сложные протезы, шины Ванкевич, Порта и другие аппараты, используемые при сложных, застарелых переломах и дефектах кости нижней челюсти.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 функции внутриротовые шины делятся на фиксирующие, репонирующие и смешанные. К фиксирующим шинам относятся: гладкая шина-скоба, применяемая при переломах без смещения; шина с распоркой при отсутствии зубов в линии перелома; шина Васильева.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Репонирующие шины: гнутые назубные шины с зацепными петлями из алюминиевой проволоки; стандартные назубные ленточные шины с зацепными крючками Васильева; пластмассовые шины в различных модификациях. Наиболее распространенными являются гнутые проволочные назубные шины Тигерштедта, которые изготавливаются индивидуально для каждого больного. Для шинирования больного необходимы: инструменты для изготовления шин (крампонные щипцы, анатомический пинцет, кровоостанавливающие зажимы, иглодержатель, зуботехнические ножницы) алюминиевая проволока диаметром 1, 8-2 мм, длиной 12.15 см.; ортодонтическая проволока диаметром 0, 8 мм, длиной 12.15 см.; бронзоалюминиевая проволока диаметром 0, 4-0, 6 мм, длиной до 10 см.; резиновые кольца.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Оперативные методы иммобилизации отломков нижней челюсти – остеосинтез.</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Показания: недостаточное количество или полное отсутствие зубов; подвижность зубов (при заболеваниях пародонта); переломы за пределами зубного ряда (угол, ветвь, мыщелковый отросток); большое смещение отломков с интерпозицией мягких тканей; дефекты кости челюсти; множественные переломы; комбинированные поражения; психические расстройства; социальные показания и т.п.</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целью иммобилизации отломков нижней челюсти применяют прямые (открытый очаговый и внеочаговый) и непрямые (закрытый очаговый и внеочаговый) способы остеосинтеза.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Методы прямого остеосинтеза:</w:t>
      </w:r>
    </w:p>
    <w:p>
      <w:pPr>
        <w:pStyle w:val="Style17"/>
        <w:widowControl/>
        <w:numPr>
          <w:ilvl w:val="0"/>
          <w:numId w:val="6"/>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Внутрикостные - спицы, винты, компрессионные аппараты.</w:t>
      </w:r>
    </w:p>
    <w:p>
      <w:pPr>
        <w:pStyle w:val="Style17"/>
        <w:widowControl/>
        <w:numPr>
          <w:ilvl w:val="0"/>
          <w:numId w:val="6"/>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Накостные - пластины и винты.</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Методы непрямого остеосинтеза:</w:t>
      </w:r>
    </w:p>
    <w:p>
      <w:pPr>
        <w:pStyle w:val="Style17"/>
        <w:widowControl/>
        <w:numPr>
          <w:ilvl w:val="0"/>
          <w:numId w:val="7"/>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Внутрикостные спицы Киршнера, штифтовые внеротовые аппараты без компрессии и с компрессионным устройством.</w:t>
      </w:r>
    </w:p>
    <w:p>
      <w:pPr>
        <w:pStyle w:val="Style17"/>
        <w:widowControl/>
        <w:numPr>
          <w:ilvl w:val="0"/>
          <w:numId w:val="7"/>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Накостные - подвешивание нижней челюсти к верхней, круговые лигатуры с надесневыми шинами и протезами, клеммовые внеротовые аппараты с компрессионным устройством (Рудько, Конмет и другие компрессионные и дистракционные аппараты, используемые для фиксации нижней челюсти).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Перед проведением постоянной иммобилизации должен быть решен вопрос с зубом в линии перелома, по показаниям проведена хирургическая санация полости рта. Интактные зубы подлежат наблюдению под контролем электроодонтометрии. Зубы удаляют при наличии периапикальных очагов, выраженных воспалительных явлений в пародонте, разрывов слизистой оболочки и тканей десны, а также вывихнутые, подвижные, раздробленные, мешающие вправлению отломков при вклинивании их в линию перелома.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зависимости от тяжести травмы, характера и локализации перелома больным назначается антибактериальная, противовоспалительная, антигистаминная, общеукрепляющая терапия (витамины, рациональное питание). Необходима специальная гигиена и уход за полостью рта.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Профилактика воспалительных осложнений (острый гнойный периостит, нагноение костной раны, травматический остеомиелит): раннее удаление зуба из линии перелома по показаниям; своевременная и рациональная иммобилизация отломков; общая медикаментозная терапия.</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ОРГАНИЗАЦИЯ МЕДИЦИНСКОЙ ПОМОЩИ ПАЦИЕНТАМ С ПЕРЕЛОМОМ НИЖНЕЙ ЧЕЛЮСТИ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Лечение пациентов с переломами нижней челюсти проводится в амбулаторно-поликлинических и специализированных челюстно-лицевых хирургических отделениях. По показаниям, консервативное лечение перелома нижней челюсти (шинирование челюстей) проводится в условиях поликлиники или в специализированных челюстно-лицевых хирургических отделениях. Пациенту могут предложить лечение в амбулаторно-поликлинических или стационарных условиях. Поводом для госпитализации является полное отсутствие зубов на одой или обеих челюстях, угроза развития инфекционно-воспалительных осложнений в области перелома, обострение сопутствующих заболеваний, социально-бытовые условия и невозможность пациентом самостоятельно осуществлять необходимые манипуляции, связанные с уходом за полостью рта. Продолжительность стационарного лечения от одной недели. Долечивание в амбулаторно-поликлинических условиях.</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проведения оперативного вмешательства (остеосинтез челюсти) дальнейшее лечение проводится в условиях стационара специализированных челюстно-лицевых хирургических отделений.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Оказание помощи больным с переломами нижней челюсти осуществляется в основном врачами-стоматологами хирургами и челюстно-лицевыми хирургами. В процессе оказания помощи могут принимать участие стоматологи-ортопеды, стоматологи-терапевты, стоматологи общей практики, неврологи, физиотерапевты, рентгенологи, зубные техники, гигиенисты стоматологические - по показаниям, средний медицинский персонал.</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VII. ХАРАКТЕРИСТИКА ТРЕБОВАНИЙ КЛИНИЧЕСКИХ РЕКОМЕНДАЦИЙ</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 Модель пациента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Нозологическая форма: перелом нижней челюсти - закрытый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Фаза: стабильное течение</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Стадия: любая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Осложнение: без осложнений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Условия оказания помощи: амбулаторно-поликлинические</w:t>
      </w:r>
    </w:p>
    <w:p>
      <w:pPr>
        <w:pStyle w:val="Style17"/>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Код по </w:t>
      </w:r>
      <w:r>
        <w:rPr>
          <w:rStyle w:val="Style12"/>
          <w:rFonts w:ascii="ALSStory;Arial" w:hAnsi="ALSStory;Arial"/>
          <w:b w:val="false"/>
          <w:i w:val="false"/>
          <w:caps w:val="false"/>
          <w:smallCaps w:val="false"/>
          <w:color w:val="000000"/>
          <w:spacing w:val="0"/>
          <w:sz w:val="21"/>
        </w:rPr>
        <w:t>МКБ-10:</w:t>
      </w:r>
      <w:r>
        <w:rPr>
          <w:rFonts w:ascii="ALSStory;Arial" w:hAnsi="ALSStory;Arial"/>
          <w:b w:val="false"/>
          <w:i w:val="false"/>
          <w:caps w:val="false"/>
          <w:smallCaps w:val="false"/>
          <w:color w:val="000000"/>
          <w:spacing w:val="0"/>
          <w:sz w:val="21"/>
        </w:rPr>
        <w:t> S02.62, S02.63, S02.64, S02.66.</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 Критерии и признаки, определяющие модель пациента</w:t>
      </w:r>
    </w:p>
    <w:p>
      <w:pPr>
        <w:pStyle w:val="Style17"/>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перелом вне зубного ряда;</w:t>
      </w:r>
    </w:p>
    <w:p>
      <w:pPr>
        <w:pStyle w:val="Style17"/>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возможно нарушение окклюзии зубных рядов;</w:t>
      </w:r>
    </w:p>
    <w:p>
      <w:pPr>
        <w:pStyle w:val="Style17"/>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достаточного количества зубов на обеих челюстях для наложения назубных шин;</w:t>
      </w:r>
    </w:p>
    <w:p>
      <w:pPr>
        <w:pStyle w:val="Style17"/>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подвижность отломков;</w:t>
      </w:r>
    </w:p>
    <w:p>
      <w:pPr>
        <w:pStyle w:val="Style17"/>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 при осевой нагрузке</w:t>
      </w:r>
    </w:p>
    <w:p>
      <w:pPr>
        <w:pStyle w:val="Style17"/>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 в области нижней челюсти при надавливании на неповрежденную сторону;</w:t>
      </w:r>
    </w:p>
    <w:p>
      <w:pPr>
        <w:pStyle w:val="Style17"/>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 при открывании рта;</w:t>
      </w:r>
    </w:p>
    <w:p>
      <w:pPr>
        <w:pStyle w:val="Style17"/>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гематомы с язычной или вестибулярной стороны челюсти;</w:t>
      </w:r>
    </w:p>
    <w:p>
      <w:pPr>
        <w:pStyle w:val="Style17"/>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отека;</w:t>
      </w:r>
    </w:p>
    <w:p>
      <w:pPr>
        <w:pStyle w:val="Style17"/>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парестезия кожных покровов - подбородка, нижней губы;</w:t>
      </w:r>
    </w:p>
    <w:p>
      <w:pPr>
        <w:pStyle w:val="Style17"/>
        <w:widowControl/>
        <w:numPr>
          <w:ilvl w:val="0"/>
          <w:numId w:val="8"/>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рентгенологических признаков линии перелома в области венечных, мыщелковых отростков, угла или ветви нижней челюсти (односторонние или двусторонние переломы).</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7.1.2. Порядок включения пациента в Клинические рекомендации (протоколы лечения)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668"/>
        <w:gridCol w:w="6108"/>
        <w:gridCol w:w="1862"/>
      </w:tblGrid>
      <w:tr>
        <w:trPr/>
        <w:tc>
          <w:tcPr>
            <w:tcW w:w="1668" w:type="dxa"/>
            <w:tcBorders>
              <w:top w:val="single" w:sz="6" w:space="0" w:color="808080"/>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Код</w:t>
            </w:r>
          </w:p>
        </w:tc>
        <w:tc>
          <w:tcPr>
            <w:tcW w:w="6108"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Наименование</w:t>
            </w:r>
          </w:p>
        </w:tc>
        <w:tc>
          <w:tcPr>
            <w:tcW w:w="1862"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Кратность выполнения</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Сбор анамнеза и жалоб при патологии полости рта</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А01.07.001.001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Сбор анамнеза и жалоб при патологии полости рта, включая черепно-челюстно-лицевой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А01.07.002</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полости рта</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А01.07.002.001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 включая черепно-челюстно-лицевой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А01.07.003</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Пальпация органов полости рта</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А01.07.003.001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Пальпация органов полости рта, включая черепно-челюстно-лицевой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А01.07.004</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Перкуссия при патологии полости рта</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А01.07.004.001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Перкуссия при патологии полости рта, включая черепно-челюстно-лицевой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A01.07.005</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A01.07.006</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A01.07.007</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ограничения подвижности нижней челюсти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А02.07.001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Осмотр полости рта с помощью дополнительных инструментов</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А02.07.006</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Определение прикуса</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А02.07.007</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Перкуссия зубов</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А02.07.008</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A03.07.003</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А05.07.001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Электроодонтометрия</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А06.03.002</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Компьютерная томография головы</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A06.07.004</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Ортопантомография</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A06.30.002</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Описание и интерпретация рентгенографических изображений</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А06.07.002</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Панорамная рентгенография нижней челюсти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А06.07.003</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Прицельная внутриротовая контактная рентгенография</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А06.07.009</w:t>
            </w:r>
          </w:p>
        </w:tc>
        <w:tc>
          <w:tcPr>
            <w:tcW w:w="6108"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Рентгенография нижней челюсти в боковой проекции</w:t>
            </w:r>
          </w:p>
        </w:tc>
        <w:tc>
          <w:tcPr>
            <w:tcW w:w="1862"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«1» - если 1 раз; «согласно алгоритму» - если обязательно несколько раз (2 и более); «по потребности» - если не обязательно (на усмотрение лечащего врача)</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7.1.4. Характеристика алгоритмов и особенностей выполнения диагностических мероприятий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предотвращение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внешний осмотр,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Сбор анамнеза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выясняют обстоятельства получения травмы, профессию пациента, возможные профессиональные вредности, вредные привычки, характер питания, аллергический анамнез, наследственность, перенесенные и сопутствующие заболевания. Отмечают наличие у пациентов соматических заболеваний. Далее выясняют жалобы на локализацию боли, затрудненное открывание или закрывание рта, нарушение смыкания зубных рядов. Следует выяснить, время, прошедшее с момента травмы и место получения травмы. Если пострадавшему оказана помощь в первые часы или сутки после перелома челюсти, первичная хирургическая обработка раны заканчивается наложением глухих швов с применением любых методов остеосинтеза, оправдано бережное отношение к зубам в линии перелома. Место получения травмы информативно и находится в правовой ответственности субъекта. При опросе выяснить, имелись ли вслед за травмой тошнота, рвота, потеря сознания, характерные симптомы черепно-мозговой травмы и при наличии показаний направить к врачу-неврологу или нейрохирургу.</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объективном исследовании оценивают общее состояние больного по клиническим признакам. Необходимо исключить травматические повреждения других областей. При внешнем осмотре оценивают форму и конфигурацию лица, выявляют наличие отека или других патологических изменений. Необходимо проводить пальпацию лимфатических узлов головы и шеи, которая проводится бимануально и билатерально, сравнивая правую и левую половины лица и шеи. Пальпацию нижней челюсти проводят, начиная с мыщелкового отростка спускаясь по ветви на тело челюсти. Обнаружение «костной ступеньки» говорит о переломе. Далее необходимо определить наличие симптома нагрузки. Симптом нагрузки – это боль, возникающая в области перелома при надавливании на отдаленные от него участки челюсти. Три точки нагрузки: подбородок, наружная и нижняя поверхность углов нижней челюсти. Определяют чувствительность кожных покровов, поочередным покалыванием правой и левой половины губы и подбородка, сравнивая их.</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осмотре рта начинают с преддверия полости рта, далее определяют соотношение зубных рядов при сомкнутых челюстях, состояние зубных рядов, слизистой оболочки, ее цвет, увлажненность, наличие патологических изменений. При смещении отломков характер смыкания нарушен, центральная линия смещена в сторону перелома. При осмотре зубов на линии перелома можно увидеть неправильное положение, разрушение коронковой части, отсутствие зубов (полный вывих). Слизистая оболочка в области перелома отечна, гиперемирована, можно обнаружить кровоизлияния или рваную рану. Обращают внимание на открывание и закрывание рта. При осмотре обращают внимание на открывание и закрывание рта.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анализ возможных повреждений других органов и частей тела.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консультация отоларинголога, офтальмолога, невролога, нейрохирурга, травматолога, терапевта.</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376"/>
        <w:gridCol w:w="6361"/>
        <w:gridCol w:w="1901"/>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Код</w:t>
            </w:r>
          </w:p>
        </w:tc>
        <w:tc>
          <w:tcPr>
            <w:tcW w:w="6361"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Наименование</w:t>
            </w:r>
          </w:p>
        </w:tc>
        <w:tc>
          <w:tcPr>
            <w:tcW w:w="1901"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А11.07.011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Инъекционное введение лекарственных средств в челюстно-лицевую область (анестезия)</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A15.03.001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Наложение повязки при переломах костей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A15.03.002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Наложение иммобилизационной повязки при переломах костей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A15.03.007</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Наложение шины при переломах костей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А16.03.038</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Наложение наружных фиксирующих устройств</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А16.07.051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Профессиональная гигиена полости рта и зубов</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А25.03.001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костной системы</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А25.07.001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полости рта и зубов</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А25.07.002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полости рта и зубов</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А25.07.003</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полости рта и зубов</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А17.07.002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Физиотерапевтическое воздействие на челюстно-лицевую область</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А05.07.001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Электроодонтометрия</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А06.03.002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Компьютерная томография головы</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A06.07.004</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Ортопантомография</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A03.07.003</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A06.30.002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Описание и интерпретация рентгенографических изображений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Панорамная рентгенография нижней челюсти</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А06.07.003</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Прицельная внутриротовая контактная рентгенография</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А06.07.009</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Рентгенография нижней челюсти в боковой проекции</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B01.023.01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Прием (осмотр, консультация) врача-невролога первичный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В01.028.01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Прием (осмотр, консультация) врача отоларинголога первичный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В01.029.01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Прием (осмотр, консультация) врача офтальмолога первичный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B01.065.001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первичный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B01.066.001</w:t>
            </w:r>
          </w:p>
        </w:tc>
        <w:tc>
          <w:tcPr>
            <w:tcW w:w="6361"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1901"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«1» - если 1 раз; «согласно алгоритму» - если обязательно несколько раз (2 и более); «по потребности» - если не обязательно (на усмотрение лечащего врача)</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7.1.6 Характеристика алгоритмов и особенностей выполнения немедикаментозной помощи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стоматологическая помощь направлена на купирование боли, устранение отеков и гематом, предупреждение развития воспалительных заболеваний, ускорение консолидации отломков челюстей.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устранения травмирующих факторов по показаниям и в плановом порядке проводят терапевтическое и ортопедическое лечение.</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7.1.7. Требования к лекарственной помощи амбулаторно-поликлинической</w:t>
      </w:r>
    </w:p>
    <w:tbl>
      <w:tblPr>
        <w:tblW w:w="9541" w:type="dxa"/>
        <w:jc w:val="left"/>
        <w:tblInd w:w="-7" w:type="dxa"/>
        <w:tblLayout w:type="fixed"/>
        <w:tblCellMar>
          <w:top w:w="75" w:type="dxa"/>
          <w:left w:w="75" w:type="dxa"/>
          <w:bottom w:w="75" w:type="dxa"/>
          <w:right w:w="75" w:type="dxa"/>
        </w:tblCellMar>
      </w:tblPr>
      <w:tblGrid>
        <w:gridCol w:w="5030"/>
        <w:gridCol w:w="4511"/>
      </w:tblGrid>
      <w:tr>
        <w:trPr/>
        <w:tc>
          <w:tcPr>
            <w:tcW w:w="5030" w:type="dxa"/>
            <w:tcBorders>
              <w:top w:val="single" w:sz="6" w:space="0" w:color="808080"/>
              <w:left w:val="single" w:sz="6" w:space="0" w:color="808080"/>
              <w:bottom w:val="single" w:sz="2" w:space="0" w:color="808080"/>
              <w:right w:val="single" w:sz="6" w:space="0" w:color="808080"/>
            </w:tcBorders>
            <w:vAlign w:val="center"/>
          </w:tcPr>
          <w:p>
            <w:pPr>
              <w:pStyle w:val="Style21"/>
              <w:widowControl w:val="false"/>
              <w:suppressLineNumbers/>
              <w:bidi w:val="0"/>
              <w:jc w:val="left"/>
              <w:rPr/>
            </w:pPr>
            <w:r>
              <w:rPr>
                <w:rStyle w:val="Style12"/>
                <w:rFonts w:ascii="ALSStory;Arial" w:hAnsi="ALSStory;Arial"/>
                <w:color w:val="000000"/>
                <w:sz w:val="21"/>
              </w:rPr>
              <w:t>Наименование группы</w:t>
            </w:r>
          </w:p>
        </w:tc>
        <w:tc>
          <w:tcPr>
            <w:tcW w:w="4511" w:type="dxa"/>
            <w:tcBorders>
              <w:top w:val="single" w:sz="6" w:space="0" w:color="808080"/>
              <w:left w:val="single" w:sz="2" w:space="0" w:color="808080"/>
              <w:bottom w:val="single" w:sz="2" w:space="0" w:color="808080"/>
              <w:right w:val="single" w:sz="6" w:space="0" w:color="808080"/>
            </w:tcBorders>
            <w:vAlign w:val="center"/>
          </w:tcPr>
          <w:p>
            <w:pPr>
              <w:pStyle w:val="Style21"/>
              <w:widowControl w:val="false"/>
              <w:suppressLineNumbers/>
              <w:bidi w:val="0"/>
              <w:jc w:val="left"/>
              <w:rPr/>
            </w:pPr>
            <w:r>
              <w:rPr>
                <w:rStyle w:val="Style12"/>
                <w:rFonts w:ascii="ALSStory;Arial" w:hAnsi="ALSStory;Arial"/>
                <w:color w:val="000000"/>
                <w:sz w:val="21"/>
              </w:rPr>
              <w:t>Кратность (продолжительность лечения)</w:t>
            </w:r>
          </w:p>
        </w:tc>
      </w:tr>
      <w:tr>
        <w:trPr/>
        <w:tc>
          <w:tcPr>
            <w:tcW w:w="5030"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Противомикробные препараты</w:t>
            </w:r>
          </w:p>
        </w:tc>
        <w:tc>
          <w:tcPr>
            <w:tcW w:w="451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5030"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Препараты для местной анестезии</w:t>
            </w:r>
          </w:p>
        </w:tc>
        <w:tc>
          <w:tcPr>
            <w:tcW w:w="451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5030"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Антисептики</w:t>
            </w:r>
          </w:p>
        </w:tc>
        <w:tc>
          <w:tcPr>
            <w:tcW w:w="451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5030"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Антигистаминные</w:t>
            </w:r>
          </w:p>
        </w:tc>
        <w:tc>
          <w:tcPr>
            <w:tcW w:w="451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5030"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Противостолбнячный анатоксин</w:t>
            </w:r>
          </w:p>
        </w:tc>
        <w:tc>
          <w:tcPr>
            <w:tcW w:w="451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5030" w:type="dxa"/>
            <w:tcBorders>
              <w:left w:val="single" w:sz="6"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Нестероидные противовоспалительные средства</w:t>
            </w:r>
          </w:p>
        </w:tc>
        <w:tc>
          <w:tcPr>
            <w:tcW w:w="4511"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bl>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7.1.8. Характеристика алгоритмов и особенностей применения медикаментов</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Перед проведением лечебных манипуляций по показаниям проводят анестезию (аппликационная, инфильтрационная, проводниковая).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 сегодняшний день имеется довольно широкий выбор различных лекарственных средств, которые действуют на микроорганизмы, а также вирусы и споры. Основу в терапии переломов нижней челюсти составляют антибиотики.</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7.1.9. Требования к режиму труда, отдыха, лечения и реабилитации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амбулаторно-поликлинических лечебных мероприятий (шинирование) необходимо проводить консервативное лечение, направленное на профилактику воспалительных явлений в течение одной недели, специальную гигиену полости рта в течение четырех недель во время ношения индивидуальных бимаксилярных шин. Динамическое наблюдение - посещения врача раз в неделю в течение 4 - 6 недель и контрольное рентгенологическое исследование перед снятием шин. Показанием к снятию шин является рентгенологические признаки консолидации костных фрагментов. После консолидации костных фрагментов и снятия индивидуальных шин, при необходимости, по назначению врача, проведение механотерапии для нормализации открывании рта.</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7.1.10. Требования к уходу за пациентом и вспомогательным процедурам</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индивидуальной гигиены использовать мягкую зубную щетку, антисептики и специальные зубные ершики в течение 4 - 6 недель.</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7.1.11. Требования к диетическим назначениям и ограничениям</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 время ношения шин, в соответствии с диетическими требованиями стола № 2 рекомендована «трубочная диета". В течение 1 месяца после снятия шин щадящая диета, мягкая и жидкая пища, маленькими порциями.</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7.1.12. Форма информированного добровольного согласия пациента при выполнении Клинических рекомендаций (протоколов лечения)</w:t>
      </w:r>
    </w:p>
    <w:p>
      <w:pPr>
        <w:pStyle w:val="Style17"/>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См. </w:t>
      </w:r>
      <w:r>
        <w:fldChar w:fldCharType="begin"/>
      </w:r>
      <w:r>
        <w:rPr>
          <w:smallCaps w:val="false"/>
          <w:caps w:val="false"/>
          <w:sz w:val="21"/>
          <w:spacing w:val="0"/>
          <w:i w:val="false"/>
          <w:u w:val="single"/>
          <w:b w:val="false"/>
          <w:rFonts w:ascii="ALSStory;Arial" w:hAnsi="ALSStory;Arial"/>
          <w:color w:val="000000"/>
        </w:rPr>
        <w:instrText xml:space="preserve"> HYPERLINK "https://e-stomatology.ru/director/protokols/protokol_perelom.php" \l "3"</w:instrText>
      </w:r>
      <w:r>
        <w:rPr>
          <w:smallCaps w:val="false"/>
          <w:caps w:val="false"/>
          <w:sz w:val="21"/>
          <w:spacing w:val="0"/>
          <w:i w:val="false"/>
          <w:u w:val="single"/>
          <w:b w:val="false"/>
          <w:rFonts w:ascii="ALSStory;Arial" w:hAnsi="ALSStory;Arial"/>
          <w:color w:val="000000"/>
        </w:rPr>
        <w:fldChar w:fldCharType="separate"/>
      </w:r>
      <w:r>
        <w:rPr>
          <w:rFonts w:ascii="ALSStory;Arial" w:hAnsi="ALSStory;Arial"/>
          <w:b w:val="false"/>
          <w:i w:val="false"/>
          <w:caps w:val="false"/>
          <w:smallCaps w:val="false"/>
          <w:color w:val="000000"/>
          <w:spacing w:val="0"/>
          <w:sz w:val="21"/>
          <w:u w:val="single"/>
        </w:rPr>
        <w:t>Приложение № 3</w:t>
      </w:r>
      <w:r>
        <w:rPr>
          <w:smallCaps w:val="false"/>
          <w:caps w:val="false"/>
          <w:sz w:val="21"/>
          <w:spacing w:val="0"/>
          <w:i w:val="false"/>
          <w:u w:val="single"/>
          <w:b w:val="false"/>
          <w:rFonts w:ascii="ALSStory;Arial" w:hAnsi="ALSStory;Arial"/>
          <w:color w:val="000000"/>
        </w:rPr>
        <w:fldChar w:fldCharType="end"/>
      </w:r>
      <w:r>
        <w:rPr>
          <w:rFonts w:ascii="ALSStory;Arial" w:hAnsi="ALSStory;Arial"/>
          <w:b w:val="false"/>
          <w:i w:val="false"/>
          <w:caps w:val="false"/>
          <w:smallCaps w:val="false"/>
          <w:color w:val="000000"/>
          <w:spacing w:val="0"/>
          <w:sz w:val="21"/>
        </w:rPr>
        <w:t>.</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7.1.13. Дополнительная информация для пациента и членов его семьи</w:t>
      </w:r>
    </w:p>
    <w:p>
      <w:pPr>
        <w:pStyle w:val="Style17"/>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См. </w:t>
      </w:r>
      <w:r>
        <w:fldChar w:fldCharType="begin"/>
      </w:r>
      <w:r>
        <w:rPr>
          <w:smallCaps w:val="false"/>
          <w:caps w:val="false"/>
          <w:sz w:val="21"/>
          <w:spacing w:val="0"/>
          <w:i w:val="false"/>
          <w:u w:val="single"/>
          <w:b w:val="false"/>
          <w:rFonts w:ascii="ALSStory;Arial" w:hAnsi="ALSStory;Arial"/>
          <w:color w:val="000000"/>
        </w:rPr>
        <w:instrText xml:space="preserve"> HYPERLINK "https://e-stomatology.ru/director/protokols/protokol_perelom.php" \l "4"</w:instrText>
      </w:r>
      <w:r>
        <w:rPr>
          <w:smallCaps w:val="false"/>
          <w:caps w:val="false"/>
          <w:sz w:val="21"/>
          <w:spacing w:val="0"/>
          <w:i w:val="false"/>
          <w:u w:val="single"/>
          <w:b w:val="false"/>
          <w:rFonts w:ascii="ALSStory;Arial" w:hAnsi="ALSStory;Arial"/>
          <w:color w:val="000000"/>
        </w:rPr>
        <w:fldChar w:fldCharType="separate"/>
      </w:r>
      <w:r>
        <w:rPr>
          <w:rFonts w:ascii="ALSStory;Arial" w:hAnsi="ALSStory;Arial"/>
          <w:b w:val="false"/>
          <w:i w:val="false"/>
          <w:caps w:val="false"/>
          <w:smallCaps w:val="false"/>
          <w:color w:val="000000"/>
          <w:spacing w:val="0"/>
          <w:sz w:val="21"/>
          <w:u w:val="single"/>
        </w:rPr>
        <w:t>Приложение № 4</w:t>
      </w:r>
      <w:r>
        <w:rPr>
          <w:smallCaps w:val="false"/>
          <w:caps w:val="false"/>
          <w:sz w:val="21"/>
          <w:spacing w:val="0"/>
          <w:i w:val="false"/>
          <w:u w:val="single"/>
          <w:b w:val="false"/>
          <w:rFonts w:ascii="ALSStory;Arial" w:hAnsi="ALSStory;Arial"/>
          <w:color w:val="000000"/>
        </w:rPr>
        <w:fldChar w:fldCharType="end"/>
      </w:r>
      <w:r>
        <w:rPr>
          <w:rFonts w:ascii="ALSStory;Arial" w:hAnsi="ALSStory;Arial"/>
          <w:b w:val="false"/>
          <w:i w:val="false"/>
          <w:caps w:val="false"/>
          <w:smallCaps w:val="false"/>
          <w:color w:val="000000"/>
          <w:spacing w:val="0"/>
          <w:sz w:val="21"/>
        </w:rPr>
        <w:t>.</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7.1.14. Правила изменения требований при выполнении Клинических рекомендаций (протоколов лечения) «Перелом нижней челюсти - закрытый»</w:t>
      </w: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и прекращении действия требований Клинических рекомендаций (протоколов лечения).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Клинические рекомендации (протоколы лечения), соответствующие выявленным заболеваниям и осложнениям.</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перелома челюстей медицинская помощь пациенту оказывается в соответствии с требованиями: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этих Клинических рекомендаций (протоколов лечения), соответствующего ведению перелома челюстей;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Клинических рекомендаций (протоколов лечения) с выявленным заболеванием или синдромом.</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842"/>
        <w:gridCol w:w="1087"/>
        <w:gridCol w:w="2469"/>
        <w:gridCol w:w="2012"/>
        <w:gridCol w:w="2228"/>
      </w:tblGrid>
      <w:tr>
        <w:trPr/>
        <w:tc>
          <w:tcPr>
            <w:tcW w:w="1842" w:type="dxa"/>
            <w:tcBorders>
              <w:top w:val="single" w:sz="6" w:space="0" w:color="808080"/>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Наименование исхода</w:t>
            </w:r>
          </w:p>
        </w:tc>
        <w:tc>
          <w:tcPr>
            <w:tcW w:w="1087"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Частота развития, %</w:t>
            </w:r>
          </w:p>
        </w:tc>
        <w:tc>
          <w:tcPr>
            <w:tcW w:w="2469"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Критерии и признаки</w:t>
            </w:r>
          </w:p>
        </w:tc>
        <w:tc>
          <w:tcPr>
            <w:tcW w:w="2012"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228"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842"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Выздоровление</w:t>
            </w:r>
          </w:p>
        </w:tc>
        <w:tc>
          <w:tcPr>
            <w:tcW w:w="1087"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85%</w:t>
            </w:r>
          </w:p>
        </w:tc>
        <w:tc>
          <w:tcPr>
            <w:tcW w:w="2469"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Консолидация костных отломков (фрагментов) под рентгенологическим контролем, отсутствие признаков воспаления</w:t>
            </w:r>
          </w:p>
        </w:tc>
        <w:tc>
          <w:tcPr>
            <w:tcW w:w="201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После проведенного лечения через 4 - 6 недель</w:t>
            </w:r>
          </w:p>
        </w:tc>
        <w:tc>
          <w:tcPr>
            <w:tcW w:w="222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Профилактические мероприятия в течение 1 месяца после снятия шин</w:t>
            </w:r>
          </w:p>
        </w:tc>
      </w:tr>
      <w:tr>
        <w:trPr/>
        <w:tc>
          <w:tcPr>
            <w:tcW w:w="1842"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087"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7%</w:t>
            </w:r>
          </w:p>
        </w:tc>
        <w:tc>
          <w:tcPr>
            <w:tcW w:w="2469"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Неправильное сопоставление отломков, сохранение эстетических и функциональных жалоб, присутствие воспалительных признаков.</w:t>
            </w:r>
          </w:p>
        </w:tc>
        <w:tc>
          <w:tcPr>
            <w:tcW w:w="201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 любом этапе</w:t>
            </w:r>
          </w:p>
        </w:tc>
        <w:tc>
          <w:tcPr>
            <w:tcW w:w="222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842" w:type="dxa"/>
            <w:tcBorders>
              <w:left w:val="single" w:sz="6"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087"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8%</w:t>
            </w:r>
          </w:p>
        </w:tc>
        <w:tc>
          <w:tcPr>
            <w:tcW w:w="2469"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Возникновение и прогрессирование воспалительных явлений</w:t>
            </w:r>
          </w:p>
        </w:tc>
        <w:tc>
          <w:tcPr>
            <w:tcW w:w="2012"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 любом этапе</w:t>
            </w:r>
          </w:p>
        </w:tc>
        <w:tc>
          <w:tcPr>
            <w:tcW w:w="2228"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7.1.16. Стоимостные характеристики Клинических рекомендаций (протоколов лечения) «Перелом нижней челюстей - закрытый»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7.1.17. Критерии оценки качества медицинской помощи по Клиническим рекомендациям (протоколам лечения) «Перелом нижней челюсти - закрытый»</w:t>
      </w:r>
    </w:p>
    <w:p>
      <w:pPr>
        <w:pStyle w:val="Style17"/>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См. </w:t>
      </w:r>
      <w:r>
        <w:fldChar w:fldCharType="begin"/>
      </w:r>
      <w:r>
        <w:rPr>
          <w:smallCaps w:val="false"/>
          <w:caps w:val="false"/>
          <w:sz w:val="21"/>
          <w:spacing w:val="0"/>
          <w:i w:val="false"/>
          <w:u w:val="single"/>
          <w:b w:val="false"/>
          <w:rFonts w:ascii="ALSStory;Arial" w:hAnsi="ALSStory;Arial"/>
          <w:color w:val="000000"/>
        </w:rPr>
        <w:instrText xml:space="preserve"> HYPERLINK "https://e-stomatology.ru/director/protokols/protokol_perelom.php" \l "8"</w:instrText>
      </w:r>
      <w:r>
        <w:rPr>
          <w:smallCaps w:val="false"/>
          <w:caps w:val="false"/>
          <w:sz w:val="21"/>
          <w:spacing w:val="0"/>
          <w:i w:val="false"/>
          <w:u w:val="single"/>
          <w:b w:val="false"/>
          <w:rFonts w:ascii="ALSStory;Arial" w:hAnsi="ALSStory;Arial"/>
          <w:color w:val="000000"/>
        </w:rPr>
        <w:fldChar w:fldCharType="separate"/>
      </w:r>
      <w:r>
        <w:rPr>
          <w:rFonts w:ascii="ALSStory;Arial" w:hAnsi="ALSStory;Arial"/>
          <w:b w:val="false"/>
          <w:i w:val="false"/>
          <w:caps w:val="false"/>
          <w:smallCaps w:val="false"/>
          <w:color w:val="000000"/>
          <w:spacing w:val="0"/>
          <w:sz w:val="21"/>
          <w:u w:val="single"/>
        </w:rPr>
        <w:t>Приложение № 8</w:t>
      </w:r>
      <w:r>
        <w:rPr>
          <w:smallCaps w:val="false"/>
          <w:caps w:val="false"/>
          <w:sz w:val="21"/>
          <w:spacing w:val="0"/>
          <w:i w:val="false"/>
          <w:u w:val="single"/>
          <w:b w:val="false"/>
          <w:rFonts w:ascii="ALSStory;Arial" w:hAnsi="ALSStory;Arial"/>
          <w:color w:val="000000"/>
        </w:rPr>
        <w:fldChar w:fldCharType="end"/>
      </w:r>
      <w:r>
        <w:rPr>
          <w:rFonts w:ascii="ALSStory;Arial" w:hAnsi="ALSStory;Arial"/>
          <w:b w:val="false"/>
          <w:i w:val="false"/>
          <w:caps w:val="false"/>
          <w:smallCaps w:val="false"/>
          <w:color w:val="000000"/>
          <w:spacing w:val="0"/>
          <w:sz w:val="21"/>
        </w:rPr>
        <w:t>.</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 Модель пациента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Нозологическая форма: перелом нижней челюсти - открытый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Фаза: стабильное течение</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Стадия: любая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Осложнение: без осложнений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Условия оказания помощи: амбулаторно-поликлинические</w:t>
      </w:r>
    </w:p>
    <w:p>
      <w:pPr>
        <w:pStyle w:val="Style17"/>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Код по </w:t>
      </w:r>
      <w:r>
        <w:rPr>
          <w:rStyle w:val="Style12"/>
          <w:rFonts w:ascii="ALSStory;Arial" w:hAnsi="ALSStory;Arial"/>
          <w:b w:val="false"/>
          <w:i w:val="false"/>
          <w:caps w:val="false"/>
          <w:smallCaps w:val="false"/>
          <w:color w:val="000000"/>
          <w:spacing w:val="0"/>
          <w:sz w:val="21"/>
        </w:rPr>
        <w:t>МКБ-10: </w:t>
      </w:r>
      <w:r>
        <w:rPr>
          <w:rFonts w:ascii="ALSStory;Arial" w:hAnsi="ALSStory;Arial"/>
          <w:b w:val="false"/>
          <w:i w:val="false"/>
          <w:caps w:val="false"/>
          <w:smallCaps w:val="false"/>
          <w:color w:val="000000"/>
          <w:spacing w:val="0"/>
          <w:sz w:val="21"/>
        </w:rPr>
        <w:t>S02.60 S02.61, S02.66.</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 Критерии и признаки, определяющие модель пациента</w:t>
      </w:r>
    </w:p>
    <w:p>
      <w:pPr>
        <w:pStyle w:val="Style17"/>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перелом в пределах зубного ряда;</w:t>
      </w:r>
    </w:p>
    <w:p>
      <w:pPr>
        <w:pStyle w:val="Style17"/>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нарушение окклюзии зубных рядов;</w:t>
      </w:r>
    </w:p>
    <w:p>
      <w:pPr>
        <w:pStyle w:val="Style17"/>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достаточного количества зубов на обеих челюстях для наложения назубных шин;</w:t>
      </w:r>
    </w:p>
    <w:p>
      <w:pPr>
        <w:pStyle w:val="Style17"/>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зуба в линии перелома;</w:t>
      </w:r>
    </w:p>
    <w:p>
      <w:pPr>
        <w:pStyle w:val="Style17"/>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 в области нижней челюсти;</w:t>
      </w:r>
    </w:p>
    <w:p>
      <w:pPr>
        <w:pStyle w:val="Style17"/>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 при открывании рта;</w:t>
      </w:r>
    </w:p>
    <w:p>
      <w:pPr>
        <w:pStyle w:val="Style17"/>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гематомы с язычной или вестибулярной стороны;</w:t>
      </w:r>
    </w:p>
    <w:p>
      <w:pPr>
        <w:pStyle w:val="Style17"/>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отека;</w:t>
      </w:r>
    </w:p>
    <w:p>
      <w:pPr>
        <w:pStyle w:val="Style17"/>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парестезия кожных покровов - подбородка, нижней губы;</w:t>
      </w:r>
    </w:p>
    <w:p>
      <w:pPr>
        <w:pStyle w:val="Style17"/>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нарушение целостности слизистой оболочки;</w:t>
      </w:r>
    </w:p>
    <w:p>
      <w:pPr>
        <w:pStyle w:val="Style17"/>
        <w:widowControl/>
        <w:numPr>
          <w:ilvl w:val="0"/>
          <w:numId w:val="9"/>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рентгенологических признаков линии перелома в области альвеолярного отростка и тела нижней челюсти (односторонние или двусторонние переломы).</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7.2.2. Порядок включения пациента в Клинические рекомендации (протоколы лечения)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668"/>
        <w:gridCol w:w="6108"/>
        <w:gridCol w:w="1862"/>
      </w:tblGrid>
      <w:tr>
        <w:trPr/>
        <w:tc>
          <w:tcPr>
            <w:tcW w:w="1668" w:type="dxa"/>
            <w:tcBorders>
              <w:top w:val="single" w:sz="6" w:space="0" w:color="808080"/>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Код</w:t>
            </w:r>
          </w:p>
        </w:tc>
        <w:tc>
          <w:tcPr>
            <w:tcW w:w="6108"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Наименование</w:t>
            </w:r>
          </w:p>
        </w:tc>
        <w:tc>
          <w:tcPr>
            <w:tcW w:w="1862"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Кратность выполнения</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Сбор анамнеза и жалоб при патологии полости рта</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А01.07.001.001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Сбор анамнеза и жалоб при патологии полости рта, включая черепно-челюстно-лицевой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А01.07.002</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полости рта</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А01.07.002.001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 включая черепно-челюстно-лицевой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А01.07.003</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Пальпация органов полости рта</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А01.07.003.001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Пальпация органов полости рта, включая черепно-челюстно-лицевой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А01.07.004</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Перкуссия при патологии полости рта</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А01.07.004.001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Перкуссия при патологии полости рта, включая черепно-челюстно-лицевой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A01.07.005</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A01.07.006</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A01.07.007</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ограничения подвижности нижней челюсти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А02.07.001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Осмотр полости рта с помощью дополнительных инструментов</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А02.07.006</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Определение прикуса</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А02.07.007</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Перкуссия зубов</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А02.07.008</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A03.07.003</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А05.07.001</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Электроодонтометрия</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А06.03.002</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Компьютерная томография головы</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A06.07.004</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Ортопантомография</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A06.30.002</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Описание и интерпретация рентгенографических изображений</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А06.07.002</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Панорамная рентгенография нижней челюсти</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668"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А06.07.003</w:t>
            </w:r>
          </w:p>
        </w:tc>
        <w:tc>
          <w:tcPr>
            <w:tcW w:w="610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Прицельная внутриротовая контактная рентгенография</w:t>
            </w:r>
          </w:p>
        </w:tc>
        <w:tc>
          <w:tcPr>
            <w:tcW w:w="186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668" w:type="dxa"/>
            <w:tcBorders>
              <w:left w:val="single" w:sz="6"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А06.07.009</w:t>
            </w:r>
          </w:p>
        </w:tc>
        <w:tc>
          <w:tcPr>
            <w:tcW w:w="6108"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Рентгенография нижней челюсти в боковой проекции</w:t>
            </w:r>
          </w:p>
        </w:tc>
        <w:tc>
          <w:tcPr>
            <w:tcW w:w="1862"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«1» - если 1 раз; «согласно алгоритму» - если обязательно несколько раз (2 и более); «по потребности» - если не обязательно (на усмотрение лечащего врача)</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7.2.4. Характеристика алгоритмов и особенностей выполнения диагностических мероприятий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предотвращение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внешний осмотр,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Сбор анамнеза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выясняют обстоятельства получения травмы, профессию пациента, возможные профессиональные вредности, вредные привычки, характер питания, аллергический анамнез, наследственность, перенесенные и сопутствующие заболевания. Отмечают наличие у пациентов соматических заболеваний. Далее выясняют жалобы на локализацию боли, затрудненное открывание или закрывание рта, нарушение смыкания зубных рядов. Следует выяснить, время, прошедшее с момента травмы и место получения травмы. Если пострадавшему оказана помощь в первые часы или сутки после перелома челюсти, первичная хирургическая обработка раны заканчивается наложением глухих швов с применением любых методов остеосинтеза, оправдано бережное отношение к зубам в линии перелома. Место получения травмы информативно и находится в правовой ответственности субъекта. При опросе выяснить, имелись ли вслед за травмой тошнота, рвота, потеря сознания, характерные симптомы черепно-мозговой травмы и при наличии показаний направить к врачу-неврологу или нейрохирургу.</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объективном исследовании оценивают общее состояние больного по клиническим признакам. Необходимо исключить травматические повреждения других областей. При внешнем осмотре оценивают форму и конфигурацию лица, выявляют наличие отека или других патологических изменений. Необходимо проводить пальпацию лимфатических узлов головы и шеи, которая проводится бимануально и билатерально, сравнивая правую и левую половины лица и шеи. Пальпацию нижней челюсти проводят, начиная с мыщелкового отростка спускаясь по ветви на тело челюсти. Обнаружение «костной ступеньки» говорит о переломе. Далее необходимо определить наличие симптома нагрузки. Симптом нагрузки – это боль, возникающая в области перелома при надавливании на отдаленные от него участки челюсти. Три точки нагрузки: подбородок, наружная и нижняя поверхность углов нижней челюсти. Определяют чувствительность кожных покровов, поочередным покалыванием правой и левой половины губы и подбородка, сравнивая их.</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осмотре рта начинают с преддверия полости рта, далее определяют соотношение зубных рядов при сомкнутых челюстях, состояние зубных рядов, слизистой оболочки, ее цвет, увлажненность, наличие патологических изменений. При смещении отломков характер смыкания нарушен, центральная линия смещена в сторону перелома. При осмотре зубов на линии перелома можно увидеть неправильное положение, разрушение коронковой части, отсутствие зубов (полный вывих). Слизистая оболочка в области перелома отечна, гиперемирована, можно обнаружить кровоизлияния или рваную рану. Обращают внимание на открывание и закрывание рта. При осмотре обращают внимание на открывание и закрывание рта.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анализ возможных повреждений других органов и частей тела.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консультация отоларинголога, офтальмолога, невролога, нейрохирурга, травматолога, терапевта.</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376"/>
        <w:gridCol w:w="6361"/>
        <w:gridCol w:w="1901"/>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Код</w:t>
            </w:r>
          </w:p>
        </w:tc>
        <w:tc>
          <w:tcPr>
            <w:tcW w:w="6361"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Наименование</w:t>
            </w:r>
          </w:p>
        </w:tc>
        <w:tc>
          <w:tcPr>
            <w:tcW w:w="1901"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А11.07.011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Инъекционное введение лекарственных средств в челюстно-лицевую область (анестезия)</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A15.03.001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Наложение повязки при переломах костей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A15.03.002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Наложение иммобилизационной повязки при переломах костей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A15.03.007</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Наложение шины при переломах костей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A16.01.004</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Хирургическая обработка раны или инфицированной ткани</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А16.03.038</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Наложение наружных фиксирующих устройств</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А16.07.001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Удаление зуба</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А16.07.051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Профессиональная гигиена полости рта и зубов</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А25.03.001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костной системы</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А25.07.001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полости рта и зубов</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А25.07.002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полости рта и зубов</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А25.07.003</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полости рта и зубов</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А17.07.002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Физиотерапевтическое воздействие на челюстно-лицевую область</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А05.07.001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Электроодонтометрия</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А06.03.002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Компьютерная томография головы</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A06.07.004</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Ортопантомография</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A03.07.003</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A06.30.002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Описание и интерпретация рентгенографических изображений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А06.07.002</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Панорамная рентгенография нижней челюсти</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А06.07.003</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Прицельная внутриротовая контактная рентгенография</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А06.07.009</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Рентгенография нижней челюсти в боковой проекции</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B01.023.01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Прием (осмотр, консультация) врача-невропатолога первичный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В01.028.01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Прием (осмотр, консультация) врача отоларинголога первичный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В01.029.01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Прием (осмотр, консультация) врача офтальмолога первичный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B01.065.001</w:t>
            </w:r>
          </w:p>
        </w:tc>
        <w:tc>
          <w:tcPr>
            <w:tcW w:w="636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первичный</w:t>
            </w:r>
          </w:p>
        </w:tc>
        <w:tc>
          <w:tcPr>
            <w:tcW w:w="190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B01.066.001</w:t>
            </w:r>
          </w:p>
        </w:tc>
        <w:tc>
          <w:tcPr>
            <w:tcW w:w="6361"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1901"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«1» - если 1 раз; «согласно алгоритму» - если обязательно несколько раз (2 и более); «по потребности» - если не обязательно (на усмотрение лечащего врача)</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7.2.6 Характеристика алгоритмов и особенностей выполнения немедикаментозной помощи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стоматологическая помощь направлена на устранение отеков и гематом, предупреждение развития воспалительных заболеваний, ускорение консолидации отломков челюстей.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устранения травмирующих факторов по показаниями и в плановом порядке проводят терапевтическое и ортопедическое лечение.</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7.2.7. Требования к лекарственной помощи амбулаторно-поликлинической</w:t>
      </w:r>
    </w:p>
    <w:tbl>
      <w:tblPr>
        <w:tblW w:w="9206" w:type="dxa"/>
        <w:jc w:val="left"/>
        <w:tblInd w:w="-7" w:type="dxa"/>
        <w:tblLayout w:type="fixed"/>
        <w:tblCellMar>
          <w:top w:w="75" w:type="dxa"/>
          <w:left w:w="75" w:type="dxa"/>
          <w:bottom w:w="75" w:type="dxa"/>
          <w:right w:w="75" w:type="dxa"/>
        </w:tblCellMar>
      </w:tblPr>
      <w:tblGrid>
        <w:gridCol w:w="5030"/>
        <w:gridCol w:w="4176"/>
      </w:tblGrid>
      <w:tr>
        <w:trPr/>
        <w:tc>
          <w:tcPr>
            <w:tcW w:w="5030" w:type="dxa"/>
            <w:tcBorders>
              <w:top w:val="single" w:sz="6" w:space="0" w:color="808080"/>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Наименование группы</w:t>
            </w:r>
          </w:p>
        </w:tc>
        <w:tc>
          <w:tcPr>
            <w:tcW w:w="4176"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Кратность (продолжительность лечения)</w:t>
            </w:r>
          </w:p>
        </w:tc>
      </w:tr>
      <w:tr>
        <w:trPr/>
        <w:tc>
          <w:tcPr>
            <w:tcW w:w="5030"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Противомикробные препараты</w:t>
            </w:r>
          </w:p>
        </w:tc>
        <w:tc>
          <w:tcPr>
            <w:tcW w:w="417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5030"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Препараты для местной анестезии</w:t>
            </w:r>
          </w:p>
        </w:tc>
        <w:tc>
          <w:tcPr>
            <w:tcW w:w="417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5030"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Антисептики</w:t>
            </w:r>
          </w:p>
        </w:tc>
        <w:tc>
          <w:tcPr>
            <w:tcW w:w="417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5030"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Антигистаминные</w:t>
            </w:r>
          </w:p>
        </w:tc>
        <w:tc>
          <w:tcPr>
            <w:tcW w:w="417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5030"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Противостолбнячный анатоксин</w:t>
            </w:r>
          </w:p>
        </w:tc>
        <w:tc>
          <w:tcPr>
            <w:tcW w:w="417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5030" w:type="dxa"/>
            <w:tcBorders>
              <w:left w:val="single" w:sz="6"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Нестероидные противовоспалительные средства</w:t>
            </w:r>
          </w:p>
        </w:tc>
        <w:tc>
          <w:tcPr>
            <w:tcW w:w="4176"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согласно алгоритму</w:t>
            </w:r>
          </w:p>
        </w:tc>
      </w:tr>
    </w:tbl>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7.2.8. Характеристика алгоритмов и особенностей применения медикаментов</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Перед проведением лечебных манипуляций по показаниям проводят анестезию (аппликационная, инфильтрационная, проводниковая).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 сегодняшний день имеется довольно широкий выбор различных лекарственных средств, которые действуют на микроорганизмы, а также вирусы и споры. Основу в терапии переломов нижней челюсти составляют антибиотики.</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7.2.9. Требования к режиму труда, отдыха, лечения и реабилитации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амбулаторно-поликлинических лечебных мероприятий (шинирование) необходимо проводить консервативное лечение, направленное на профилактику воспалительных явлений в течение одной недели, специальную гигиену полости рта в течение четырех недель во время ношения индивидуальных бимаксилярных шин. Динамическое наблюдение - посещения врача раз в неделю в течение 4 - 6 недель и контрольное рентгенологическое исследование перед снятием шин. Показанием к снятию шин является рентгенологические признаки консолидации костных фрагментов. После консолидации костных фрагментов и снятия индивидуальных шин, при необходимости, по назначению врача, проведение механотерапии для нормализации открывании рта.</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7.2.10. Требования к уходу за пациентом и вспомогательным процедурам</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индивидуальной гигиены использовать мягкую зубную щетку, антисептики и специальные зубные ершики в течение 4 - 6 недель.</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7.2.11. Требования к диетическим назначениям и ограничениям</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 время ношения шин, в соответствии с диетическими требованиями стола № 2 рекомендована «трубочная диета». В течение 1 месяца после снятия шин щадящая диета, мягкая и жидкая пища, маленькими порциями.</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7.2.12. Форма информированного добровольного согласия пациента при выполнении Клинических рекомендаций (протоколов лечения)</w:t>
      </w:r>
    </w:p>
    <w:p>
      <w:pPr>
        <w:pStyle w:val="Style17"/>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См. </w:t>
      </w:r>
      <w:r>
        <w:fldChar w:fldCharType="begin"/>
      </w:r>
      <w:r>
        <w:rPr>
          <w:smallCaps w:val="false"/>
          <w:caps w:val="false"/>
          <w:sz w:val="21"/>
          <w:spacing w:val="0"/>
          <w:i w:val="false"/>
          <w:u w:val="single"/>
          <w:b w:val="false"/>
          <w:rFonts w:ascii="ALSStory;Arial" w:hAnsi="ALSStory;Arial"/>
          <w:color w:val="000000"/>
        </w:rPr>
        <w:instrText xml:space="preserve"> HYPERLINK "https://e-stomatology.ru/director/protokols/protokol_perelom.php" \l "3"</w:instrText>
      </w:r>
      <w:r>
        <w:rPr>
          <w:smallCaps w:val="false"/>
          <w:caps w:val="false"/>
          <w:sz w:val="21"/>
          <w:spacing w:val="0"/>
          <w:i w:val="false"/>
          <w:u w:val="single"/>
          <w:b w:val="false"/>
          <w:rFonts w:ascii="ALSStory;Arial" w:hAnsi="ALSStory;Arial"/>
          <w:color w:val="000000"/>
        </w:rPr>
        <w:fldChar w:fldCharType="separate"/>
      </w:r>
      <w:r>
        <w:rPr>
          <w:rFonts w:ascii="ALSStory;Arial" w:hAnsi="ALSStory;Arial"/>
          <w:b w:val="false"/>
          <w:i w:val="false"/>
          <w:caps w:val="false"/>
          <w:smallCaps w:val="false"/>
          <w:color w:val="000000"/>
          <w:spacing w:val="0"/>
          <w:sz w:val="21"/>
          <w:u w:val="single"/>
        </w:rPr>
        <w:t>Приложение № 3</w:t>
      </w:r>
      <w:r>
        <w:rPr>
          <w:smallCaps w:val="false"/>
          <w:caps w:val="false"/>
          <w:sz w:val="21"/>
          <w:spacing w:val="0"/>
          <w:i w:val="false"/>
          <w:u w:val="single"/>
          <w:b w:val="false"/>
          <w:rFonts w:ascii="ALSStory;Arial" w:hAnsi="ALSStory;Arial"/>
          <w:color w:val="000000"/>
        </w:rPr>
        <w:fldChar w:fldCharType="end"/>
      </w:r>
      <w:r>
        <w:rPr>
          <w:rFonts w:ascii="ALSStory;Arial" w:hAnsi="ALSStory;Arial"/>
          <w:b w:val="false"/>
          <w:i w:val="false"/>
          <w:caps w:val="false"/>
          <w:smallCaps w:val="false"/>
          <w:color w:val="000000"/>
          <w:spacing w:val="0"/>
          <w:sz w:val="21"/>
        </w:rPr>
        <w:t>.</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7.2.13. Дополнительная информация для пациента и членов его семьи</w:t>
      </w:r>
    </w:p>
    <w:p>
      <w:pPr>
        <w:pStyle w:val="Style17"/>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См. </w:t>
      </w:r>
      <w:r>
        <w:fldChar w:fldCharType="begin"/>
      </w:r>
      <w:r>
        <w:rPr>
          <w:smallCaps w:val="false"/>
          <w:caps w:val="false"/>
          <w:sz w:val="21"/>
          <w:spacing w:val="0"/>
          <w:i w:val="false"/>
          <w:u w:val="single"/>
          <w:b w:val="false"/>
          <w:rFonts w:ascii="ALSStory;Arial" w:hAnsi="ALSStory;Arial"/>
          <w:color w:val="000000"/>
        </w:rPr>
        <w:instrText xml:space="preserve"> HYPERLINK "https://e-stomatology.ru/director/protokols/protokol_perelom.php" \l "4"</w:instrText>
      </w:r>
      <w:r>
        <w:rPr>
          <w:smallCaps w:val="false"/>
          <w:caps w:val="false"/>
          <w:sz w:val="21"/>
          <w:spacing w:val="0"/>
          <w:i w:val="false"/>
          <w:u w:val="single"/>
          <w:b w:val="false"/>
          <w:rFonts w:ascii="ALSStory;Arial" w:hAnsi="ALSStory;Arial"/>
          <w:color w:val="000000"/>
        </w:rPr>
        <w:fldChar w:fldCharType="separate"/>
      </w:r>
      <w:r>
        <w:rPr>
          <w:rFonts w:ascii="ALSStory;Arial" w:hAnsi="ALSStory;Arial"/>
          <w:b w:val="false"/>
          <w:i w:val="false"/>
          <w:caps w:val="false"/>
          <w:smallCaps w:val="false"/>
          <w:color w:val="000000"/>
          <w:spacing w:val="0"/>
          <w:sz w:val="21"/>
          <w:u w:val="single"/>
        </w:rPr>
        <w:t>Приложение № 4</w:t>
      </w:r>
      <w:r>
        <w:rPr>
          <w:smallCaps w:val="false"/>
          <w:caps w:val="false"/>
          <w:sz w:val="21"/>
          <w:spacing w:val="0"/>
          <w:i w:val="false"/>
          <w:u w:val="single"/>
          <w:b w:val="false"/>
          <w:rFonts w:ascii="ALSStory;Arial" w:hAnsi="ALSStory;Arial"/>
          <w:color w:val="000000"/>
        </w:rPr>
        <w:fldChar w:fldCharType="end"/>
      </w:r>
      <w:r>
        <w:rPr>
          <w:rFonts w:ascii="ALSStory;Arial" w:hAnsi="ALSStory;Arial"/>
          <w:b w:val="false"/>
          <w:i w:val="false"/>
          <w:caps w:val="false"/>
          <w:smallCaps w:val="false"/>
          <w:color w:val="000000"/>
          <w:spacing w:val="0"/>
          <w:sz w:val="21"/>
        </w:rPr>
        <w:t>.</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7.2.14. Правила изменения требований при выполнении Клинических рекомендаций (протоколов лечения) «Перелом нижней челюсти - открытый»</w:t>
      </w: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и прекращении действия требований Клинических рекомендаций (протоколов лечения)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Клинические рекомендации (протоколы лечения), соответствующие выявленным заболеваниям и осложнениям.</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перелома челюстей медицинская помощь пациенту оказывается в соответствии с требованиями: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этих Клинических рекомендаций (протоколов лечения), соответствующего ведению перелома челюстей;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Клинических рекомендаций (протоколов лечения) с выявленным заболеванием или синдромом.</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842"/>
        <w:gridCol w:w="1087"/>
        <w:gridCol w:w="2469"/>
        <w:gridCol w:w="2012"/>
        <w:gridCol w:w="2228"/>
      </w:tblGrid>
      <w:tr>
        <w:trPr/>
        <w:tc>
          <w:tcPr>
            <w:tcW w:w="1842" w:type="dxa"/>
            <w:tcBorders>
              <w:top w:val="single" w:sz="6" w:space="0" w:color="808080"/>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Наименование исхода</w:t>
            </w:r>
          </w:p>
        </w:tc>
        <w:tc>
          <w:tcPr>
            <w:tcW w:w="1087"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Частота развития, %</w:t>
            </w:r>
          </w:p>
        </w:tc>
        <w:tc>
          <w:tcPr>
            <w:tcW w:w="2469"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Критерии и признаки</w:t>
            </w:r>
          </w:p>
        </w:tc>
        <w:tc>
          <w:tcPr>
            <w:tcW w:w="2012"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228" w:type="dxa"/>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842"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Выздоровление</w:t>
            </w:r>
          </w:p>
        </w:tc>
        <w:tc>
          <w:tcPr>
            <w:tcW w:w="1087"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81%</w:t>
            </w:r>
          </w:p>
        </w:tc>
        <w:tc>
          <w:tcPr>
            <w:tcW w:w="2469"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Консолидация костных отломков (фрагментов) под рентгенологическим контролем, отсутствие признаков воспаления</w:t>
            </w:r>
          </w:p>
        </w:tc>
        <w:tc>
          <w:tcPr>
            <w:tcW w:w="201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После проведенного лечения через 4 - 6 недель</w:t>
            </w:r>
          </w:p>
        </w:tc>
        <w:tc>
          <w:tcPr>
            <w:tcW w:w="222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Профилактические мероприятия в течение 1 месяца после снятия шин</w:t>
            </w:r>
          </w:p>
        </w:tc>
      </w:tr>
      <w:tr>
        <w:trPr/>
        <w:tc>
          <w:tcPr>
            <w:tcW w:w="1842"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087"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9%</w:t>
            </w:r>
          </w:p>
        </w:tc>
        <w:tc>
          <w:tcPr>
            <w:tcW w:w="2469"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Неправильное сопоставление отломков, сохранение эстетических и функциональных жалоб, присутствие воспалительных признаков.</w:t>
            </w:r>
          </w:p>
        </w:tc>
        <w:tc>
          <w:tcPr>
            <w:tcW w:w="2012"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 любом этапе</w:t>
            </w:r>
          </w:p>
        </w:tc>
        <w:tc>
          <w:tcPr>
            <w:tcW w:w="2228"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842" w:type="dxa"/>
            <w:tcBorders>
              <w:left w:val="single" w:sz="6"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087"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10%</w:t>
            </w:r>
          </w:p>
        </w:tc>
        <w:tc>
          <w:tcPr>
            <w:tcW w:w="2469"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Возникновение и прогрессирование воспалительных явлений</w:t>
            </w:r>
          </w:p>
        </w:tc>
        <w:tc>
          <w:tcPr>
            <w:tcW w:w="2012"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На любом этапе</w:t>
            </w:r>
          </w:p>
        </w:tc>
        <w:tc>
          <w:tcPr>
            <w:tcW w:w="2228"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7.2.16. Стоимостные характеристики Клинических рекомендаций (протоколов лечения) «Перелом нижней челюстей - открытый»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7.2.17. Критерии оценки качества медицинской помощи по Клиническим рекомендациям (протоколам лечения) «Перелом нижней челюстей - открытый»</w:t>
      </w:r>
    </w:p>
    <w:p>
      <w:pPr>
        <w:pStyle w:val="Style17"/>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См. </w:t>
      </w:r>
      <w:r>
        <w:fldChar w:fldCharType="begin"/>
      </w:r>
      <w:r>
        <w:rPr>
          <w:smallCaps w:val="false"/>
          <w:caps w:val="false"/>
          <w:sz w:val="21"/>
          <w:spacing w:val="0"/>
          <w:i w:val="false"/>
          <w:u w:val="single"/>
          <w:b w:val="false"/>
          <w:rFonts w:ascii="ALSStory;Arial" w:hAnsi="ALSStory;Arial"/>
          <w:color w:val="000000"/>
        </w:rPr>
        <w:instrText xml:space="preserve"> HYPERLINK "https://e-stomatology.ru/director/protokols/protokol_perelom.php" \l "8"</w:instrText>
      </w:r>
      <w:r>
        <w:rPr>
          <w:smallCaps w:val="false"/>
          <w:caps w:val="false"/>
          <w:sz w:val="21"/>
          <w:spacing w:val="0"/>
          <w:i w:val="false"/>
          <w:u w:val="single"/>
          <w:b w:val="false"/>
          <w:rFonts w:ascii="ALSStory;Arial" w:hAnsi="ALSStory;Arial"/>
          <w:color w:val="000000"/>
        </w:rPr>
        <w:fldChar w:fldCharType="separate"/>
      </w:r>
      <w:r>
        <w:rPr>
          <w:rFonts w:ascii="ALSStory;Arial" w:hAnsi="ALSStory;Arial"/>
          <w:b w:val="false"/>
          <w:i w:val="false"/>
          <w:caps w:val="false"/>
          <w:smallCaps w:val="false"/>
          <w:color w:val="000000"/>
          <w:spacing w:val="0"/>
          <w:sz w:val="21"/>
          <w:u w:val="single"/>
        </w:rPr>
        <w:t>Приложение № 8</w:t>
      </w:r>
      <w:r>
        <w:rPr>
          <w:smallCaps w:val="false"/>
          <w:caps w:val="false"/>
          <w:sz w:val="21"/>
          <w:spacing w:val="0"/>
          <w:i w:val="false"/>
          <w:u w:val="single"/>
          <w:b w:val="false"/>
          <w:rFonts w:ascii="ALSStory;Arial" w:hAnsi="ALSStory;Arial"/>
          <w:color w:val="000000"/>
        </w:rPr>
        <w:fldChar w:fldCharType="end"/>
      </w:r>
      <w:r>
        <w:rPr>
          <w:rFonts w:ascii="ALSStory;Arial" w:hAnsi="ALSStory;Arial"/>
          <w:b w:val="false"/>
          <w:i w:val="false"/>
          <w:caps w:val="false"/>
          <w:smallCaps w:val="false"/>
          <w:color w:val="000000"/>
          <w:spacing w:val="0"/>
          <w:sz w:val="21"/>
        </w:rPr>
        <w:t>.</w:t>
      </w:r>
    </w:p>
    <w:p>
      <w:pPr>
        <w:pStyle w:val="Style17"/>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bookmarkStart w:id="0" w:name="1"/>
      <w:bookmarkEnd w:id="0"/>
      <w:r>
        <w:rPr>
          <w:rFonts w:ascii="ALSStory;Arial" w:hAnsi="ALSStory;Arial"/>
          <w:b w:val="false"/>
          <w:i w:val="false"/>
          <w:caps w:val="false"/>
          <w:smallCaps w:val="false"/>
          <w:color w:val="000000"/>
          <w:spacing w:val="0"/>
          <w:sz w:val="23"/>
        </w:rPr>
        <w:t>Приложение № 1</w:t>
        <w:br/>
        <w:t>К Клиническим рекомендациям (протоколам лечения)</w:t>
        <w:br/>
        <w:t>«Перелом нижней челюсти»</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ПЕРЕЧЕНЬ СТОМАТОЛОГИЧЕСКИХ МАТЕРИАЛОВ, ИНСТРУМЕНТОВ И ОБОРУДОВАНИЯ, НЕОБХОДИМЫХ ДЛЯ РАБОТЫ ВРАЧА</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ОБЯЗАТЕЛЬНЫЙ АССОРТИМЕНТ</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установка стоматологическая</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лоток универсальный стоматологический для смотрового набора</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перчатки</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маски</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защитные очки</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стаканы одноразовые</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перевязочный материал</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иглы одноразовые</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бронзоалюминиевая проволока (лигатура) 0, 4-0, 6 мм</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алюминиевая проволока 1, 8-2 мм</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ортодонтическая проволока 0, 8 мм</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крампонные щипцы</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скальпель</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металлический шпатель</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щипцы для удаления зубов</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кюретажные ложки</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элеваторы</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гладилка серповидная</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ножницы по металлу</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ножницы</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иглодержатель</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резиновые тяги</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фрезы для прямого механического наконечника</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боры для углового механического наконечника</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боры для турбинного наконечника</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шприцы одноразовые</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шовный материал</w:t>
      </w:r>
    </w:p>
    <w:p>
      <w:pPr>
        <w:pStyle w:val="Style17"/>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прямой механический наконечник</w:t>
      </w:r>
    </w:p>
    <w:p>
      <w:pPr>
        <w:pStyle w:val="Style17"/>
        <w:widowControl/>
        <w:numPr>
          <w:ilvl w:val="0"/>
          <w:numId w:val="10"/>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угловой механический наконечник</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ДОПОЛНИТЕЛЬНЫЙ АССОРТИМЕНТ</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скальпель одноразовый</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ручка для скальпеля одноразового</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пылесосы</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слюноотсосы</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одноразовый шпатель</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дезинфицирующие салфетки</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карпульный шприц</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иглы для карпульного шприца</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йодоформная турунда</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гемостатическая губка</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крючок Фарабефа</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распатор</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периотом</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держатель языка</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шины Васильева</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долото хирургическое</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ронжиры (костные кусачки)</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зажим гемостатический паста абразивная, не содержащая фтор для очищения поверхности зуба</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экран защитный</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турбинный наконечник</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бумага артикуляционная</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фартук для пациента</w:t>
      </w:r>
    </w:p>
    <w:p>
      <w:pPr>
        <w:pStyle w:val="Style17"/>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валики стандартные ватные</w:t>
      </w:r>
    </w:p>
    <w:p>
      <w:pPr>
        <w:pStyle w:val="Style17"/>
        <w:widowControl/>
        <w:numPr>
          <w:ilvl w:val="0"/>
          <w:numId w:val="11"/>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воск</w:t>
      </w:r>
    </w:p>
    <w:p>
      <w:pPr>
        <w:pStyle w:val="Style17"/>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bookmarkStart w:id="1" w:name="2"/>
      <w:bookmarkEnd w:id="1"/>
      <w:r>
        <w:rPr>
          <w:rFonts w:ascii="ALSStory;Arial" w:hAnsi="ALSStory;Arial"/>
          <w:b w:val="false"/>
          <w:i w:val="false"/>
          <w:caps w:val="false"/>
          <w:smallCaps w:val="false"/>
          <w:color w:val="000000"/>
          <w:spacing w:val="0"/>
          <w:sz w:val="23"/>
        </w:rPr>
        <w:t>Приложение №2</w:t>
        <w:br/>
        <w:t>К Клиническим рекомендациям (протоколам лечения)</w:t>
        <w:br/>
        <w:t>«Перелом нижней челюсти»</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ОБЩИЕ РЕКОМЕНДАЦИИ ПО ПОДБОРУ СРЕДСТВ ГИГИЕНЫ РТА ПАЦИЕНТАМ С ПЕРЕЛОМОМ НИЖНЕЙ ЧЕЛЮСТИ</w:t>
      </w:r>
    </w:p>
    <w:tbl>
      <w:tblPr>
        <w:tblW w:w="9638" w:type="dxa"/>
        <w:jc w:val="left"/>
        <w:tblInd w:w="0" w:type="dxa"/>
        <w:tblLayout w:type="fixed"/>
        <w:tblCellMar>
          <w:top w:w="28" w:type="dxa"/>
          <w:left w:w="28" w:type="dxa"/>
          <w:bottom w:w="28" w:type="dxa"/>
          <w:right w:w="28" w:type="dxa"/>
        </w:tblCellMar>
      </w:tblPr>
      <w:tblGrid>
        <w:gridCol w:w="1841"/>
        <w:gridCol w:w="7797"/>
      </w:tblGrid>
      <w:tr>
        <w:trPr/>
        <w:tc>
          <w:tcPr>
            <w:tcW w:w="1841" w:type="dxa"/>
            <w:tcBorders/>
            <w:vAlign w:val="center"/>
          </w:tcPr>
          <w:p>
            <w:pPr>
              <w:pStyle w:val="Style21"/>
              <w:bidi w:val="0"/>
              <w:jc w:val="left"/>
              <w:rPr>
                <w:color w:val="000000"/>
              </w:rPr>
            </w:pPr>
            <w:r>
              <w:rPr>
                <w:color w:val="000000"/>
              </w:rPr>
              <w:t> </w:t>
            </w:r>
          </w:p>
        </w:tc>
        <w:tc>
          <w:tcPr>
            <w:tcW w:w="7797" w:type="dxa"/>
            <w:tcBorders/>
            <w:vAlign w:val="center"/>
          </w:tcPr>
          <w:p>
            <w:pPr>
              <w:pStyle w:val="Style21"/>
              <w:widowControl w:val="false"/>
              <w:suppressLineNumbers/>
              <w:bidi w:val="0"/>
              <w:jc w:val="left"/>
              <w:rPr/>
            </w:pPr>
            <w:r>
              <w:rPr>
                <w:rStyle w:val="Style12"/>
                <w:rFonts w:ascii="ALSStory;Arial" w:hAnsi="ALSStory;Arial"/>
                <w:color w:val="000000"/>
                <w:sz w:val="21"/>
              </w:rPr>
              <w:t>РЕКОМЕНДУЕМЫЕ СРЕДСТВА ГИГИЕНЫ РТА</w:t>
            </w:r>
          </w:p>
        </w:tc>
      </w:tr>
      <w:tr>
        <w:trPr/>
        <w:tc>
          <w:tcPr>
            <w:tcW w:w="1841" w:type="dxa"/>
            <w:tcBorders/>
            <w:vAlign w:val="center"/>
          </w:tcPr>
          <w:p>
            <w:pPr>
              <w:pStyle w:val="Style21"/>
              <w:bidi w:val="0"/>
              <w:jc w:val="left"/>
              <w:rPr>
                <w:rFonts w:ascii="ALSStory;Arial" w:hAnsi="ALSStory;Arial"/>
                <w:color w:val="000000"/>
                <w:sz w:val="21"/>
              </w:rPr>
            </w:pPr>
            <w:r>
              <w:rPr>
                <w:rFonts w:ascii="ALSStory;Arial" w:hAnsi="ALSStory;Arial"/>
                <w:color w:val="000000"/>
                <w:sz w:val="21"/>
              </w:rPr>
              <w:t>Перелом нижней челюсти</w:t>
            </w:r>
          </w:p>
        </w:tc>
        <w:tc>
          <w:tcPr>
            <w:tcW w:w="7797" w:type="dxa"/>
            <w:tcBorders/>
            <w:vAlign w:val="center"/>
          </w:tcPr>
          <w:p>
            <w:pPr>
              <w:pStyle w:val="Style21"/>
              <w:bidi w:val="0"/>
              <w:jc w:val="left"/>
              <w:rPr>
                <w:rFonts w:ascii="ALSStory;Arial" w:hAnsi="ALSStory;Arial"/>
                <w:color w:val="000000"/>
                <w:sz w:val="21"/>
              </w:rPr>
            </w:pPr>
            <w:r>
              <w:rPr>
                <w:rFonts w:ascii="ALSStory;Arial" w:hAnsi="ALSStory;Arial"/>
                <w:color w:val="000000"/>
                <w:sz w:val="21"/>
              </w:rPr>
              <w:t>Зубная щетка с мягкой щетиной; лечебно-профилактические зубные пасты и не содержащие спирта ополаскиватели с антисептиками</w:t>
            </w:r>
          </w:p>
        </w:tc>
      </w:tr>
    </w:tbl>
    <w:p>
      <w:pPr>
        <w:pStyle w:val="Style17"/>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bookmarkStart w:id="2" w:name="3"/>
      <w:bookmarkEnd w:id="2"/>
      <w:r>
        <w:rPr>
          <w:rFonts w:ascii="ALSStory;Arial" w:hAnsi="ALSStory;Arial"/>
          <w:b w:val="false"/>
          <w:i w:val="false"/>
          <w:caps w:val="false"/>
          <w:smallCaps w:val="false"/>
          <w:color w:val="000000"/>
          <w:spacing w:val="0"/>
          <w:sz w:val="23"/>
        </w:rPr>
        <w:t>Приложение № 3</w:t>
        <w:br/>
        <w:t>К Клиническим рекомендациям (протоколам лечения)</w:t>
        <w:br/>
        <w:t>«Перелом нижней челюсти»</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ФОРМА ДОБРОВОЛЬНОГО ИНФОРМИРОВАННОГО СОГЛАСИЯ ПАЦИЕНТА ПРИ ВЫПОЛНЕНИИ КЛИНИЧЕСКИХ РЕКОМЕНДАЦИЙ (ПРОТОКОЛОВ ЛЕЧЕНИЯ)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ПРИЛОЖЕНИЕ К МЕДИЦИНСКОЙ КАРТЕ №_____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Пациент _____________________________________________________________________________________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 _______________________________________________________________________________________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получая разъяснения по поводу диагноза «перелом нижней челюсти», получил информацию:</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 особенностях течения заболевания 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вероятной длительности лечения_________________________________________________________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 вероятном прогнозе__________________________________________________________________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Мне предложен план обследования и лечения, включающий__________________________________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Мне предложено__________________________________________________________________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материалов ________________________________________________________________________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Таким образом, Я получил разъяснения о цели лечения и информацию о планируемых методах диагностики и лечения.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Я извещен о необходимости подготовки к лечению:</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Я извещен о необходимости в ходе лечения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получил указания и рекомендации по уходу за ртом.</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Я извещен, что несоблюдение им рекомендаций врача может отрицательно сказаться на состоянии здоровья.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Я получил информацию о типичных осложнениях, связанных с данным заболеванием, с необходимыми диагностическими процедурами и с лечением.</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Я извещен о вероятном течении заболевания и его осложнениях при отказе от лечения. Я имел возможность задать любые интересующие меня вопросы касательно состояния его здоровья, заболевания и лечения и получил на них удовлетворительные ответы.</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Беседу провел врач________________________ (подпись врача).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«___»________________20___ г.</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Я согласился с предложенным планом лечения, в чем расписался собственноручно 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(подпись пациента)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или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расписался законный представитель пациента _____________________________________________________________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(подпись законного представителя)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или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что удостоверяют присутствовавшие при беседе 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(подпись врача)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(подпись свидетеля)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Я не согласился с планом лечения,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чем расписался собственноручно</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(подпись пациента)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или расписался законный представитель пациента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(подпись законного представителя)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или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что удостоверяют, присутствовавшие при беседе______________________________________________________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(подпись врача)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(подпись свидетеля)</w:t>
      </w:r>
    </w:p>
    <w:p>
      <w:pPr>
        <w:pStyle w:val="Style17"/>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bookmarkStart w:id="3" w:name="4"/>
      <w:bookmarkEnd w:id="3"/>
      <w:r>
        <w:rPr>
          <w:rFonts w:ascii="ALSStory;Arial" w:hAnsi="ALSStory;Arial"/>
          <w:b w:val="false"/>
          <w:i w:val="false"/>
          <w:caps w:val="false"/>
          <w:smallCaps w:val="false"/>
          <w:color w:val="000000"/>
          <w:spacing w:val="0"/>
          <w:sz w:val="23"/>
        </w:rPr>
        <w:t>Приложение № 4</w:t>
        <w:br/>
        <w:t>К Клиническим рекомендациям (протоколам лечения)</w:t>
        <w:br/>
        <w:t>«Перелом нижней челюсти»</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ДОПОЛНИТЕЛЬНАЯ ИНФОРМАЦИЯ ДЛЯ ПАЦИЕНТА</w:t>
      </w:r>
    </w:p>
    <w:p>
      <w:pPr>
        <w:pStyle w:val="Style17"/>
        <w:widowControl/>
        <w:numPr>
          <w:ilvl w:val="0"/>
          <w:numId w:val="1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Зубы необходимо чистить мягкой зубной щеткой с пастой два раза в день. После еды следует полоскать рот для удаления остатков пищи.</w:t>
      </w:r>
    </w:p>
    <w:p>
      <w:pPr>
        <w:pStyle w:val="Style17"/>
        <w:widowControl/>
        <w:numPr>
          <w:ilvl w:val="0"/>
          <w:numId w:val="1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чистки межзубных промежутков в области бимаксилярных шин и лигатур использовать межзубные ершики.</w:t>
      </w:r>
    </w:p>
    <w:p>
      <w:pPr>
        <w:pStyle w:val="Style17"/>
        <w:widowControl/>
        <w:numPr>
          <w:ilvl w:val="0"/>
          <w:numId w:val="1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 рекомендации (назначению) лечащего врача-стоматолога применять антисептические растворы.</w:t>
      </w:r>
    </w:p>
    <w:p>
      <w:pPr>
        <w:pStyle w:val="Style17"/>
        <w:widowControl/>
        <w:numPr>
          <w:ilvl w:val="0"/>
          <w:numId w:val="1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возникновении воспалительных явлений необходимо обратиться к врачу.</w:t>
      </w:r>
    </w:p>
    <w:p>
      <w:pPr>
        <w:pStyle w:val="Style17"/>
        <w:widowControl/>
        <w:numPr>
          <w:ilvl w:val="0"/>
          <w:numId w:val="1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Обязательно посещать плановые осмотры. Динамическое наблюдение не менее 1 раза в неделю в течение 4 - 6 недель.</w:t>
      </w:r>
    </w:p>
    <w:p>
      <w:pPr>
        <w:pStyle w:val="Style17"/>
        <w:widowControl/>
        <w:numPr>
          <w:ilvl w:val="0"/>
          <w:numId w:val="1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Щадящая диета в течение всего срока ношения шин и 1 месяц после снятия шин, мягкая и жидкая пища.</w:t>
      </w:r>
    </w:p>
    <w:p>
      <w:pPr>
        <w:pStyle w:val="Style17"/>
        <w:widowControl/>
        <w:numPr>
          <w:ilvl w:val="0"/>
          <w:numId w:val="1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Ограничение физических нагрузок</w:t>
      </w:r>
    </w:p>
    <w:p>
      <w:pPr>
        <w:pStyle w:val="Style17"/>
        <w:widowControl/>
        <w:numPr>
          <w:ilvl w:val="0"/>
          <w:numId w:val="1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Оздоровление условий труда, отдыха, питания, здоровый образ жизни.</w:t>
      </w:r>
    </w:p>
    <w:p>
      <w:pPr>
        <w:pStyle w:val="Style17"/>
        <w:widowControl/>
        <w:numPr>
          <w:ilvl w:val="0"/>
          <w:numId w:val="12"/>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Проведение механотерапии после снятия бимаксилярных шин, профессиональная гигиена.</w:t>
      </w:r>
    </w:p>
    <w:p>
      <w:pPr>
        <w:pStyle w:val="Style17"/>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bookmarkStart w:id="4" w:name="5"/>
      <w:bookmarkEnd w:id="4"/>
      <w:r>
        <w:rPr>
          <w:rFonts w:ascii="ALSStory;Arial" w:hAnsi="ALSStory;Arial"/>
          <w:b w:val="false"/>
          <w:i w:val="false"/>
          <w:caps w:val="false"/>
          <w:smallCaps w:val="false"/>
          <w:color w:val="000000"/>
          <w:spacing w:val="0"/>
          <w:sz w:val="23"/>
        </w:rPr>
        <w:t>Приложение № 5</w:t>
        <w:br/>
        <w:t>К Клиническим рекомендациям (протоколам лечения)</w:t>
        <w:br/>
        <w:t>«Перелом нижней челюсти»</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ИНДИВИДУАЛЬНОЕ ШИНИРОВАНИЕ ЧЕЛЮСТЕЙ</w:t>
      </w:r>
    </w:p>
    <w:p>
      <w:pPr>
        <w:pStyle w:val="Style17"/>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Проведение адекватной анестезии, с целью обезболивания раны и репозиции отломков.</w:t>
      </w:r>
    </w:p>
    <w:p>
      <w:pPr>
        <w:pStyle w:val="Style17"/>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Изготовление шины с зацепными петлями для верхней и нижней челюсти или использование стандартной назубной шины Васильева.</w:t>
      </w:r>
    </w:p>
    <w:p>
      <w:pPr>
        <w:pStyle w:val="Style17"/>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изготовлении шины её зацепная петля должна находиться под углом 45° по отношению к десне. Зацепные петли изгибают на шине таким образом, чтобы они располагались в области первого моляра, первого премоляра и бокового резца. Если у больного отсутствуют данные зубы, то зацепные петли изготавливают в области других зубов, имеющих антагонисты.</w:t>
      </w:r>
    </w:p>
    <w:p>
      <w:pPr>
        <w:pStyle w:val="Style17"/>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Основание петли должно находиться в пределах коронки зуба. Если отмечается значительное смещение отломков, можно изготовить и закрепить одну шину на каждом из отломков. Концы шин не должны травмировать слизистую оболочку.</w:t>
      </w:r>
    </w:p>
    <w:p>
      <w:pPr>
        <w:pStyle w:val="Style17"/>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репозиции отломков и сопоставления челюстей в окклюзии на зацепные петли надевают резиновые кольца, что значительно препятствует перемещению отломков.</w:t>
      </w:r>
    </w:p>
    <w:p>
      <w:pPr>
        <w:pStyle w:val="Style17"/>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Периодически (2-3 раза в неделю) осматривают пациента, проверяют состоятельность фиксации лигатур, при необходимости подкручивают лигатуры, меняют резиновые кольца, обрабатывают преддверие рта антисептическими растворами, следят за состоянием прикуса.</w:t>
      </w:r>
    </w:p>
    <w:p>
      <w:pPr>
        <w:pStyle w:val="Style17"/>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Раз в неделю в течение 4 - 6 недель после наложения шины проводят контрольные осмотры с рентгенологическим контролем перед снятием шин.</w:t>
      </w:r>
    </w:p>
    <w:p>
      <w:pPr>
        <w:pStyle w:val="Style17"/>
        <w:widowControl/>
        <w:numPr>
          <w:ilvl w:val="0"/>
          <w:numId w:val="13"/>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консолидации отломков перед снятием шин необходимо снять резиновые кольца и обеспечить динамическое наблюдение в течение 1-2 дней, в этот период рекомендован для питания стол № 2 (трубочный стол).</w:t>
      </w:r>
    </w:p>
    <w:p>
      <w:pPr>
        <w:pStyle w:val="Style17"/>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bookmarkStart w:id="5" w:name="6"/>
      <w:bookmarkEnd w:id="5"/>
      <w:r>
        <w:rPr>
          <w:rFonts w:ascii="ALSStory;Arial" w:hAnsi="ALSStory;Arial"/>
          <w:b w:val="false"/>
          <w:i w:val="false"/>
          <w:caps w:val="false"/>
          <w:smallCaps w:val="false"/>
          <w:color w:val="000000"/>
          <w:spacing w:val="0"/>
          <w:sz w:val="23"/>
        </w:rPr>
        <w:t>Приложение № 6</w:t>
        <w:br/>
        <w:t>К Клиническим рекомендациям (протоколам лечения)</w:t>
        <w:br/>
        <w:t>«Перелом нижней челюсти»</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АЛГОРИТМ УДАЛЕНИЯ ЗУБА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Обращать особое внимание на максимально атравматичное удаление зуба, особенно из линии перелома с минимизацией возможного смещения отломком во время операции.</w:t>
      </w:r>
    </w:p>
    <w:p>
      <w:pPr>
        <w:pStyle w:val="Style17"/>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Медикаментозная обработка операционного поля антисептическим раствором в виде полоскания рта или орошения</w:t>
      </w:r>
    </w:p>
    <w:p>
      <w:pPr>
        <w:pStyle w:val="Style17"/>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Обезболивание (тип анестезии выбирается в зависимости от удаляемого зуба, как правило, это инфильтрационная или проводниковая анестезия местная анестезия, но в случае сложного удаления третьих моляров может применяться общая анестезия в условиях стационара)</w:t>
      </w:r>
    </w:p>
    <w:p>
      <w:pPr>
        <w:pStyle w:val="Style17"/>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Лигаментотомия. Отделяют круговую связку от шейки зуба и десну от края альвеолы при помощи гладилки или узкого плоского распатора.</w:t>
      </w:r>
    </w:p>
    <w:p>
      <w:pPr>
        <w:pStyle w:val="Style17"/>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Основные этапы операции удаления зуба:</w:t>
      </w:r>
    </w:p>
    <w:p>
      <w:pPr>
        <w:pStyle w:val="Style17"/>
        <w:widowControl/>
        <w:numPr>
          <w:ilvl w:val="1"/>
          <w:numId w:val="14"/>
        </w:numPr>
        <w:tabs>
          <w:tab w:val="clear" w:pos="709"/>
          <w:tab w:val="left" w:pos="1418" w:leader="none"/>
        </w:tabs>
        <w:bidi w:val="0"/>
        <w:spacing w:before="0" w:after="0"/>
        <w:ind w:left="1418"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Наложение щипцов. Одну щечку накладывают с язычной (нёбной), другую - с щечной стороны зуба. Ось щечек щипцов должна совпадать с осью зуба.</w:t>
      </w:r>
    </w:p>
    <w:p>
      <w:pPr>
        <w:pStyle w:val="Style17"/>
        <w:widowControl/>
        <w:numPr>
          <w:ilvl w:val="1"/>
          <w:numId w:val="14"/>
        </w:numPr>
        <w:tabs>
          <w:tab w:val="clear" w:pos="709"/>
          <w:tab w:val="left" w:pos="1418" w:leader="none"/>
        </w:tabs>
        <w:bidi w:val="0"/>
        <w:spacing w:before="0" w:after="0"/>
        <w:ind w:left="1418"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Продвижение щечек щипцов под десну и смыкание щипцов.</w:t>
      </w:r>
    </w:p>
    <w:p>
      <w:pPr>
        <w:pStyle w:val="Style17"/>
        <w:widowControl/>
        <w:numPr>
          <w:ilvl w:val="1"/>
          <w:numId w:val="14"/>
        </w:numPr>
        <w:tabs>
          <w:tab w:val="clear" w:pos="709"/>
          <w:tab w:val="left" w:pos="1418" w:leader="none"/>
        </w:tabs>
        <w:bidi w:val="0"/>
        <w:spacing w:before="0" w:after="0"/>
        <w:ind w:left="1418"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Вывихивание зуба. Прием осуществляется двумя способами: раскачиванием (люксация) и ротация вокруг оси зуба на 20-25</w:t>
      </w:r>
      <w:r>
        <w:rPr>
          <w:rFonts w:ascii="ALSStory;Arial" w:hAnsi="ALSStory;Arial"/>
          <w:b w:val="false"/>
          <w:i w:val="false"/>
          <w:caps w:val="false"/>
          <w:smallCaps w:val="false"/>
          <w:color w:val="000000"/>
          <w:spacing w:val="0"/>
          <w:position w:val="7"/>
          <w:sz w:val="17"/>
          <w:sz w:val="21"/>
        </w:rPr>
        <w:t>°</w:t>
      </w:r>
      <w:r>
        <w:rPr>
          <w:rFonts w:ascii="ALSStory;Arial" w:hAnsi="ALSStory;Arial"/>
          <w:b w:val="false"/>
          <w:i w:val="false"/>
          <w:caps w:val="false"/>
          <w:smallCaps w:val="false"/>
          <w:color w:val="000000"/>
          <w:spacing w:val="0"/>
          <w:sz w:val="21"/>
        </w:rPr>
        <w:t> (если зуб однокорневой). На нижней челюсти передние зубы вывихивают в вестибулярную сторону, остальные зубы - в оральную сторону.</w:t>
      </w:r>
    </w:p>
    <w:p>
      <w:pPr>
        <w:pStyle w:val="Style17"/>
        <w:widowControl/>
        <w:numPr>
          <w:ilvl w:val="1"/>
          <w:numId w:val="14"/>
        </w:numPr>
        <w:tabs>
          <w:tab w:val="clear" w:pos="709"/>
          <w:tab w:val="left" w:pos="1418" w:leader="none"/>
        </w:tabs>
        <w:bidi w:val="0"/>
        <w:spacing w:before="0" w:after="0"/>
        <w:ind w:left="1418"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Извлечение зуба из лунки.</w:t>
      </w:r>
    </w:p>
    <w:p>
      <w:pPr>
        <w:pStyle w:val="Style17"/>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Кюретаж лунки (удаление патологических тканей, выполняется кюретажной ложкой). При необходимости возможно использование остеопластических материалов.</w:t>
      </w:r>
    </w:p>
    <w:p>
      <w:pPr>
        <w:pStyle w:val="Style17"/>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Сближением краев послеоперационной раны путем сдавления их пальцами руки, а при наличии острых выступающих костных краев лунки и межкорневой перегородки их сглаживают путем скусывания или с помощью фрезы и бормашины.</w:t>
      </w:r>
    </w:p>
    <w:p>
      <w:pPr>
        <w:pStyle w:val="Style17"/>
        <w:widowControl/>
        <w:numPr>
          <w:ilvl w:val="0"/>
          <w:numId w:val="14"/>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Гемостаз. Убедиться, что лунка заполнена состоятельным геморрагическим сгустком, в случае необходимости наложить сближающие швы на края лунки или рыхло прикрыть йодоформной турундой.</w:t>
      </w:r>
    </w:p>
    <w:p>
      <w:pPr>
        <w:pStyle w:val="Style17"/>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bookmarkStart w:id="6" w:name="7"/>
      <w:bookmarkEnd w:id="6"/>
      <w:r>
        <w:rPr>
          <w:rFonts w:ascii="ALSStory;Arial" w:hAnsi="ALSStory;Arial"/>
          <w:b w:val="false"/>
          <w:i w:val="false"/>
          <w:caps w:val="false"/>
          <w:smallCaps w:val="false"/>
          <w:color w:val="000000"/>
          <w:spacing w:val="0"/>
          <w:sz w:val="23"/>
        </w:rPr>
        <w:t>Приложение № 7</w:t>
        <w:br/>
        <w:t>К Клиническим рекомендациям (протоколам лечения)</w:t>
        <w:br/>
        <w:t>«Перелом нижней челюсти»</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Обратите особое внимание Приложение № 7 применять только после снятия шин при окончательной консолидации отломков (не ранее, чем через 4 - 6 недель)</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Контролируемая чистка зубов</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целью выработки у пациента навыков ухода за ртом (чистки зубов) и максимально эффективного удаления мягкого зубного налета с поверхностей зубов обучают пациента приемам гигиены рта. Технику чистки зубов демонстрируют на моделях. Индивидуально подбирают средства гигиены рта. Обучение навыкам гигиены рта способствует предупреждению развития воспалительных заболеваний пародонта (уровень убедительности доказательств В).</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Контролируемая чистка зубов - чистка зубов, которую пациент осуществляет самостоятельно в присутствии специалиста (врача-стоматолога, гигиениста стоматологического) в стоматологическом кабинете или комнате гигиены рта, при наличии необходимых средств гигиены и наглядных пособий. Цель данного мероприятия — коррекция недостатков техники чистки зубов. Контролируемая чистка зубов позволяет добиться эффективного поддержания уровня гигиены рта (уровень убедительности доказательств В).</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Профессиональная гигиена рта включает удаление с поверхности зуба мягких и твердых зубных отложений и позволяет предотвратить развитие воспалительных заболеваний пародонта (уровень убедительности доказательств А).</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Алгоритм обучения гигиене рта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Врач-стоматолог или гигиенист стоматологический определяет гигиенический индекс, затем демонстрирует пациенту технику чистки зубов зубной щеткой, межзубными ершиками и зубными нитями, используя модели зубных рядов, или другие демонстрационные средства.</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Существуют разные методы чистки зубов, основанные на круговых, вибрирующих, горизонтальных и вертикальных движениях. Однако важна не сама техника, а эффективность очищения, последовательность процедуры и отсутствие вредного воздействия.</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Чистку зубов начинают с участка в области верхних правых жевательных зубов, последовательно переходя от сегмента к сегменту. В таком же порядке проводят чистку зубов на нижней челюсти.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Обратить внимание на то, что рабочую часть зубной щетки следует располагать под углом 45° к зубу, производить очищающие движения от десны к зубу, одновременно удаляя налет с зубов и десен. Жевательные поверхности зубов очищать горизонтальными (возвратно-поступательными) движениями так, чтобы волокна щетки проникали глубоко в фиссуры и межзубные промежутки. Вестибулярную поверхность фронтальной группы зубов верхней и нижней челюстей очищать такими же движениями, как моляры и премоляры. При чистке оральной поверхности ручку щетки располагать перпендикулярно к окклюзионной плоскости зубов, при этом волокна должны находиться под острым углом к зубам и захватывать не только зубы, но и десну.</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Завершают чистку круговыми движениями зубной щетки при сомкнутых челюстях, осуществляя массаж десен.</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качественной чистки контактных поверхностей зубов необходимо использовать межзубные ершики и зубные нити.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Индивидуальный подбор средств гигиены рта осуществляется с учетом стоматологического статуса пациента (состояния твердых тканей зубов и тканей пародонта, наличия зубочелюстных аномалий, съемных и несъемных ортодонтических и ортопедических конструкций).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целью закрепления полученных навыков проводят контроль индивидуальной гигиены рта (контролируемая чистка зубов).</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Алгоритм контролируемой чистки зубов</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Контролируемая чистка зубов - это чистка зубов, которую пациент осуществляет самостоятельно в присутствии врача-стоматолога.</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Первое посещение</w:t>
      </w:r>
    </w:p>
    <w:p>
      <w:pPr>
        <w:pStyle w:val="Style17"/>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Обработка зубов пациента окрашивающим средством, определение гигиенического индекса, демонстрация пациенту с помощью зеркала мест наибольшего скопления зубного налета.</w:t>
      </w:r>
    </w:p>
    <w:p>
      <w:pPr>
        <w:pStyle w:val="Style17"/>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Чистка зубов пациентом в его обычной манере.</w:t>
      </w:r>
    </w:p>
    <w:p>
      <w:pPr>
        <w:pStyle w:val="Style17"/>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Повторное определение гигиенического индекса, оценка эффективности чистки зубов (сравнение показателей индекса гигиены до и после чистки зубов), демонстрация пациенту с помощью зеркала окрашенных участков, где зубной налет не был удален при чистке.</w:t>
      </w:r>
    </w:p>
    <w:p>
      <w:pPr>
        <w:pStyle w:val="Style17"/>
        <w:widowControl/>
        <w:numPr>
          <w:ilvl w:val="0"/>
          <w:numId w:val="15"/>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Демонстрация правильной техники чистки зубов на моделях, рекомендации пациенту по коррекции недостатков гигиенического ухода за ртом, использованию зубных нитей и дополнительных средств гигиены (специальных зубных щеток, зубных ершиков, монопучковых щеток, ирригаторов — по показаниям).</w:t>
      </w:r>
    </w:p>
    <w:p>
      <w:pPr>
        <w:pStyle w:val="Style17"/>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Следующее посещение</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Определение гигиенического индекса, при неудовлетворительном уровне гигиены рта — повторение процедуры. Пациента информируют о необходимости являться на профилактический осмотр к врачу при возникновении кровоточивости десен, но не реже 1 раза в год.</w:t>
      </w:r>
    </w:p>
    <w:p>
      <w:pPr>
        <w:pStyle w:val="Style17"/>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Алгоритм профессиональной гигиены рта и зубов</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Этапы профессиональной гигиены:</w:t>
      </w:r>
    </w:p>
    <w:p>
      <w:pPr>
        <w:pStyle w:val="Style17"/>
        <w:widowControl/>
        <w:numPr>
          <w:ilvl w:val="0"/>
          <w:numId w:val="16"/>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обучение пациента индивидуальной гигиене рта;</w:t>
      </w:r>
    </w:p>
    <w:p>
      <w:pPr>
        <w:pStyle w:val="Style17"/>
        <w:widowControl/>
        <w:numPr>
          <w:ilvl w:val="0"/>
          <w:numId w:val="16"/>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контролируемая чистка зубов</w:t>
      </w:r>
    </w:p>
    <w:p>
      <w:pPr>
        <w:pStyle w:val="Style17"/>
        <w:widowControl/>
        <w:numPr>
          <w:ilvl w:val="0"/>
          <w:numId w:val="16"/>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удаление зубных отложений;</w:t>
      </w:r>
    </w:p>
    <w:p>
      <w:pPr>
        <w:pStyle w:val="Style17"/>
        <w:widowControl/>
        <w:numPr>
          <w:ilvl w:val="0"/>
          <w:numId w:val="16"/>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полирование поверхностей зубов;</w:t>
      </w:r>
    </w:p>
    <w:p>
      <w:pPr>
        <w:pStyle w:val="Style17"/>
        <w:widowControl/>
        <w:numPr>
          <w:ilvl w:val="0"/>
          <w:numId w:val="16"/>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устранение факторов, способствующих скоплению зубного налета;</w:t>
      </w:r>
    </w:p>
    <w:p>
      <w:pPr>
        <w:pStyle w:val="Style17"/>
        <w:widowControl/>
        <w:numPr>
          <w:ilvl w:val="0"/>
          <w:numId w:val="16"/>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аппликации реминерализирующих и фторсодержащих средств;</w:t>
      </w:r>
    </w:p>
    <w:p>
      <w:pPr>
        <w:pStyle w:val="Style17"/>
        <w:widowControl/>
        <w:numPr>
          <w:ilvl w:val="0"/>
          <w:numId w:val="16"/>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мотивация пациента к профилактике и лечению стоматологических заболеваний.</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удалении зубных отложений (зубной камень, мягкий зубной налет) следует соблюдать ряд условий:</w:t>
      </w:r>
    </w:p>
    <w:p>
      <w:pPr>
        <w:pStyle w:val="Style17"/>
        <w:widowControl/>
        <w:numPr>
          <w:ilvl w:val="0"/>
          <w:numId w:val="17"/>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провести обработку рта раствором антисептика;</w:t>
      </w:r>
    </w:p>
    <w:p>
      <w:pPr>
        <w:pStyle w:val="Style17"/>
        <w:widowControl/>
        <w:numPr>
          <w:ilvl w:val="0"/>
          <w:numId w:val="17"/>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выраженной гиперестезии зубов и отсутствии общих противопоказаний удаление зубных отложений нужно проводить под местным обезболиванием.</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удаления налета и полирования поверхностей зубов используют резиновые колпачки, для жевательных поверхностей — вращающиеся щеточки, для контактных поверхностей — вращающиеся ершики, резиновые конусы, суперфлоссы, флоссы и абразивные штрипсы. Полировочную пасту следует использовать, начиная с крупнодисперсной и заканчивая мелкодисперсной. При обработке поверхностей имплантатов следует использовать мелкодисперсные полировочные пасты и резиновые колпачки.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устранить факторы, способствующие скоплению зубного налета: удалить нависающие края пломб, провести повторное полирование пломб.</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Периодичность проведения профессиональной гигиены полости рта и зубов зависит от стоматологического статуса пациента (гигиенического состояния полости рта, интенсивности кариеса зубов, состояния тканей пародонта, наличия несъемной ортодонтической аппаратуры и стоматологических имплантатов). Минимальная периодичность проведения профессиональной гигиены — 2 раза в год.</w:t>
      </w:r>
    </w:p>
    <w:p>
      <w:pPr>
        <w:pStyle w:val="Style17"/>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bookmarkStart w:id="7" w:name="8"/>
      <w:bookmarkEnd w:id="7"/>
      <w:r>
        <w:rPr>
          <w:rFonts w:ascii="ALSStory;Arial" w:hAnsi="ALSStory;Arial"/>
          <w:b w:val="false"/>
          <w:i w:val="false"/>
          <w:caps w:val="false"/>
          <w:smallCaps w:val="false"/>
          <w:color w:val="000000"/>
          <w:spacing w:val="0"/>
          <w:sz w:val="23"/>
        </w:rPr>
        <w:t>Приложение № 8</w:t>
        <w:br/>
        <w:t>К Клиническим рекомендациям (протоколам лечения)</w:t>
        <w:br/>
        <w:t>«Перелом нижней челюсти»</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КРИТЕРИИ ОЦЕНКИ КАЧЕСТВА ОКАЗАНИЯ МЕДИЦИНСКОЙ ПОМОЩИ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Группа заболеваний или состояний переломы_нижней челюсти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Код/коды по МКБ-10 S.02.60, S02.61, S02.62, S02.63, S02.64, S02.66,</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Формы, виды и условия оказания медицинской помощи:</w:t>
      </w:r>
    </w:p>
    <w:p>
      <w:pPr>
        <w:pStyle w:val="Style17"/>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амбулаторно-поликлинический</w:t>
      </w:r>
    </w:p>
    <w:tbl>
      <w:tblPr>
        <w:tblW w:w="9638" w:type="dxa"/>
        <w:jc w:val="left"/>
        <w:tblInd w:w="-7" w:type="dxa"/>
        <w:tblLayout w:type="fixed"/>
        <w:tblCellMar>
          <w:top w:w="75" w:type="dxa"/>
          <w:left w:w="75" w:type="dxa"/>
          <w:bottom w:w="75" w:type="dxa"/>
          <w:right w:w="75" w:type="dxa"/>
        </w:tblCellMar>
      </w:tblPr>
      <w:tblGrid>
        <w:gridCol w:w="8451"/>
        <w:gridCol w:w="536"/>
        <w:gridCol w:w="651"/>
      </w:tblGrid>
      <w:tr>
        <w:trPr/>
        <w:tc>
          <w:tcPr>
            <w:tcW w:w="8451" w:type="dxa"/>
            <w:tcBorders>
              <w:top w:val="single" w:sz="6" w:space="0" w:color="808080"/>
              <w:left w:val="single" w:sz="6" w:space="0" w:color="808080"/>
              <w:bottom w:val="single" w:sz="2" w:space="0" w:color="808080"/>
              <w:right w:val="single" w:sz="6" w:space="0" w:color="808080"/>
            </w:tcBorders>
            <w:vAlign w:val="center"/>
          </w:tcPr>
          <w:p>
            <w:pPr>
              <w:pStyle w:val="Style21"/>
              <w:widowControl w:val="false"/>
              <w:suppressLineNumbers/>
              <w:bidi w:val="0"/>
              <w:jc w:val="left"/>
              <w:rPr/>
            </w:pPr>
            <w:r>
              <w:rPr>
                <w:rStyle w:val="Style12"/>
                <w:rFonts w:ascii="ALSStory;Arial" w:hAnsi="ALSStory;Arial"/>
                <w:color w:val="000000"/>
                <w:sz w:val="21"/>
              </w:rPr>
              <w:t>1. Событийные (смысловые, содержательные, процессные) критерии качества</w:t>
            </w:r>
          </w:p>
        </w:tc>
        <w:tc>
          <w:tcPr>
            <w:tcW w:w="1187" w:type="dxa"/>
            <w:gridSpan w:val="2"/>
            <w:tcBorders>
              <w:top w:val="single" w:sz="6" w:space="0" w:color="808080"/>
              <w:left w:val="single" w:sz="2" w:space="0" w:color="808080"/>
              <w:bottom w:val="single" w:sz="2" w:space="0" w:color="808080"/>
              <w:right w:val="single" w:sz="6" w:space="0" w:color="808080"/>
            </w:tcBorders>
            <w:vAlign w:val="center"/>
          </w:tcPr>
          <w:p>
            <w:pPr>
              <w:pStyle w:val="Style21"/>
              <w:bidi w:val="0"/>
              <w:jc w:val="left"/>
              <w:rPr>
                <w:color w:val="000000"/>
              </w:rPr>
            </w:pPr>
            <w:r>
              <w:rPr>
                <w:color w:val="000000"/>
              </w:rPr>
              <w:t> </w:t>
            </w:r>
          </w:p>
        </w:tc>
      </w:tr>
      <w:tr>
        <w:trPr/>
        <w:tc>
          <w:tcPr>
            <w:tcW w:w="8451"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 Проводилось ли при постановке диагноза сбор анамнеза, визуальный осмотр челюстно-лицевой области, пальпация челюстно-лицевой области, определение прикуса</w:t>
            </w:r>
          </w:p>
        </w:tc>
        <w:tc>
          <w:tcPr>
            <w:tcW w:w="53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Да ❒</w:t>
            </w:r>
          </w:p>
        </w:tc>
        <w:tc>
          <w:tcPr>
            <w:tcW w:w="65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Нет ❒</w:t>
            </w:r>
          </w:p>
        </w:tc>
      </w:tr>
      <w:tr>
        <w:trPr/>
        <w:tc>
          <w:tcPr>
            <w:tcW w:w="8451"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 Проводилось ли при постановке диагноза рентгенологическое исследование н/ч</w:t>
            </w:r>
          </w:p>
        </w:tc>
        <w:tc>
          <w:tcPr>
            <w:tcW w:w="53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Да ❒</w:t>
            </w:r>
          </w:p>
        </w:tc>
        <w:tc>
          <w:tcPr>
            <w:tcW w:w="65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Нет ❒</w:t>
            </w:r>
          </w:p>
        </w:tc>
      </w:tr>
      <w:tr>
        <w:trPr/>
        <w:tc>
          <w:tcPr>
            <w:tcW w:w="8451"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 Проводилось ли местное обезболивание, назначение противомикробных препаратов, антигистаминных препаратов, антисептических препаратов</w:t>
            </w:r>
          </w:p>
        </w:tc>
        <w:tc>
          <w:tcPr>
            <w:tcW w:w="53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Да ❒</w:t>
            </w:r>
          </w:p>
        </w:tc>
        <w:tc>
          <w:tcPr>
            <w:tcW w:w="65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Нет ❒</w:t>
            </w:r>
          </w:p>
        </w:tc>
      </w:tr>
      <w:tr>
        <w:trPr/>
        <w:tc>
          <w:tcPr>
            <w:tcW w:w="8451"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 Проводилось ли контрольное рентгенологическое исследование после снятия шин</w:t>
            </w:r>
          </w:p>
        </w:tc>
        <w:tc>
          <w:tcPr>
            <w:tcW w:w="53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Да ❒</w:t>
            </w:r>
          </w:p>
        </w:tc>
        <w:tc>
          <w:tcPr>
            <w:tcW w:w="65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Нет ❒</w:t>
            </w:r>
          </w:p>
        </w:tc>
      </w:tr>
      <w:tr>
        <w:trPr/>
        <w:tc>
          <w:tcPr>
            <w:tcW w:w="8451"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 Направлялся ли пациент на консультацию к челюстно-лицевому хирургу</w:t>
            </w:r>
          </w:p>
        </w:tc>
        <w:tc>
          <w:tcPr>
            <w:tcW w:w="53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Да ❒</w:t>
            </w:r>
          </w:p>
        </w:tc>
        <w:tc>
          <w:tcPr>
            <w:tcW w:w="65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Нет ❒</w:t>
            </w:r>
          </w:p>
        </w:tc>
      </w:tr>
      <w:tr>
        <w:trPr/>
        <w:tc>
          <w:tcPr>
            <w:tcW w:w="8451" w:type="dxa"/>
            <w:tcBorders>
              <w:left w:val="single" w:sz="6" w:space="0" w:color="808080"/>
              <w:bottom w:val="single" w:sz="2" w:space="0" w:color="808080"/>
              <w:right w:val="single" w:sz="6" w:space="0" w:color="808080"/>
            </w:tcBorders>
            <w:vAlign w:val="center"/>
          </w:tcPr>
          <w:p>
            <w:pPr>
              <w:pStyle w:val="Style21"/>
              <w:widowControl w:val="false"/>
              <w:suppressLineNumbers/>
              <w:bidi w:val="0"/>
              <w:jc w:val="left"/>
              <w:rPr/>
            </w:pPr>
            <w:r>
              <w:rPr>
                <w:rStyle w:val="Style12"/>
                <w:rFonts w:ascii="ALSStory;Arial" w:hAnsi="ALSStory;Arial"/>
                <w:color w:val="000000"/>
                <w:sz w:val="21"/>
              </w:rPr>
              <w:t>2. Временные критерии качества</w:t>
            </w:r>
          </w:p>
        </w:tc>
        <w:tc>
          <w:tcPr>
            <w:tcW w:w="536" w:type="dxa"/>
            <w:tcBorders>
              <w:left w:val="single" w:sz="2" w:space="0" w:color="808080"/>
              <w:bottom w:val="single" w:sz="2" w:space="0" w:color="808080"/>
              <w:right w:val="single" w:sz="6" w:space="0" w:color="808080"/>
            </w:tcBorders>
            <w:vAlign w:val="center"/>
          </w:tcPr>
          <w:p>
            <w:pPr>
              <w:pStyle w:val="Style21"/>
              <w:bidi w:val="0"/>
              <w:jc w:val="left"/>
              <w:rPr>
                <w:color w:val="000000"/>
              </w:rPr>
            </w:pPr>
            <w:r>
              <w:rPr>
                <w:color w:val="000000"/>
              </w:rPr>
              <w:t> </w:t>
            </w:r>
          </w:p>
        </w:tc>
        <w:tc>
          <w:tcPr>
            <w:tcW w:w="651" w:type="dxa"/>
            <w:tcBorders>
              <w:left w:val="single" w:sz="2" w:space="0" w:color="808080"/>
              <w:bottom w:val="single" w:sz="2" w:space="0" w:color="808080"/>
              <w:right w:val="single" w:sz="6" w:space="0" w:color="808080"/>
            </w:tcBorders>
            <w:vAlign w:val="center"/>
          </w:tcPr>
          <w:p>
            <w:pPr>
              <w:pStyle w:val="Style21"/>
              <w:bidi w:val="0"/>
              <w:jc w:val="left"/>
              <w:rPr>
                <w:color w:val="000000"/>
              </w:rPr>
            </w:pPr>
            <w:r>
              <w:rPr>
                <w:color w:val="000000"/>
              </w:rPr>
              <w:t> </w:t>
            </w:r>
          </w:p>
        </w:tc>
      </w:tr>
      <w:tr>
        <w:trPr/>
        <w:tc>
          <w:tcPr>
            <w:tcW w:w="8451"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 Шинирование проведено в течение суток после обращения за медицинской помощью и не позже трех суток от момента получения травмы</w:t>
            </w:r>
          </w:p>
        </w:tc>
        <w:tc>
          <w:tcPr>
            <w:tcW w:w="53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Да ❒</w:t>
            </w:r>
          </w:p>
        </w:tc>
        <w:tc>
          <w:tcPr>
            <w:tcW w:w="65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Нет ❒</w:t>
            </w:r>
          </w:p>
        </w:tc>
      </w:tr>
      <w:tr>
        <w:trPr/>
        <w:tc>
          <w:tcPr>
            <w:tcW w:w="8451"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 Динамическое наблюдение один раз в неделю в течение 4 - 6 недель</w:t>
            </w:r>
          </w:p>
        </w:tc>
        <w:tc>
          <w:tcPr>
            <w:tcW w:w="53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Да ❒</w:t>
            </w:r>
          </w:p>
        </w:tc>
        <w:tc>
          <w:tcPr>
            <w:tcW w:w="65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Нет ❒</w:t>
            </w:r>
          </w:p>
        </w:tc>
      </w:tr>
      <w:tr>
        <w:trPr/>
        <w:tc>
          <w:tcPr>
            <w:tcW w:w="8451" w:type="dxa"/>
            <w:tcBorders>
              <w:left w:val="single" w:sz="6" w:space="0" w:color="808080"/>
              <w:bottom w:val="single" w:sz="2" w:space="0" w:color="808080"/>
              <w:right w:val="single" w:sz="6" w:space="0" w:color="808080"/>
            </w:tcBorders>
            <w:vAlign w:val="center"/>
          </w:tcPr>
          <w:p>
            <w:pPr>
              <w:pStyle w:val="Style21"/>
              <w:widowControl w:val="false"/>
              <w:suppressLineNumbers/>
              <w:bidi w:val="0"/>
              <w:jc w:val="left"/>
              <w:rPr/>
            </w:pPr>
            <w:r>
              <w:rPr>
                <w:rStyle w:val="Style12"/>
                <w:rFonts w:ascii="ALSStory;Arial" w:hAnsi="ALSStory;Arial"/>
                <w:color w:val="000000"/>
                <w:sz w:val="21"/>
              </w:rPr>
              <w:t>3. Результативные критерии качества</w:t>
            </w:r>
          </w:p>
        </w:tc>
        <w:tc>
          <w:tcPr>
            <w:tcW w:w="536" w:type="dxa"/>
            <w:tcBorders>
              <w:left w:val="single" w:sz="2" w:space="0" w:color="808080"/>
              <w:bottom w:val="single" w:sz="2" w:space="0" w:color="808080"/>
              <w:right w:val="single" w:sz="6" w:space="0" w:color="808080"/>
            </w:tcBorders>
            <w:vAlign w:val="center"/>
          </w:tcPr>
          <w:p>
            <w:pPr>
              <w:pStyle w:val="Style21"/>
              <w:bidi w:val="0"/>
              <w:jc w:val="left"/>
              <w:rPr>
                <w:color w:val="000000"/>
              </w:rPr>
            </w:pPr>
            <w:r>
              <w:rPr>
                <w:color w:val="000000"/>
              </w:rPr>
              <w:t> </w:t>
            </w:r>
          </w:p>
        </w:tc>
        <w:tc>
          <w:tcPr>
            <w:tcW w:w="651" w:type="dxa"/>
            <w:tcBorders>
              <w:left w:val="single" w:sz="2" w:space="0" w:color="808080"/>
              <w:bottom w:val="single" w:sz="2" w:space="0" w:color="808080"/>
              <w:right w:val="single" w:sz="6" w:space="0" w:color="808080"/>
            </w:tcBorders>
            <w:vAlign w:val="center"/>
          </w:tcPr>
          <w:p>
            <w:pPr>
              <w:pStyle w:val="Style21"/>
              <w:bidi w:val="0"/>
              <w:jc w:val="left"/>
              <w:rPr>
                <w:color w:val="000000"/>
              </w:rPr>
            </w:pPr>
            <w:r>
              <w:rPr>
                <w:color w:val="000000"/>
              </w:rPr>
              <w:t> </w:t>
            </w:r>
          </w:p>
        </w:tc>
      </w:tr>
      <w:tr>
        <w:trPr/>
        <w:tc>
          <w:tcPr>
            <w:tcW w:w="8451" w:type="dxa"/>
            <w:tcBorders>
              <w:left w:val="single" w:sz="6"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 Консолидация отломков через 4 - 6 недель после шинирования челюстей</w:t>
            </w:r>
          </w:p>
        </w:tc>
        <w:tc>
          <w:tcPr>
            <w:tcW w:w="536"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Да ❒</w:t>
            </w:r>
          </w:p>
        </w:tc>
        <w:tc>
          <w:tcPr>
            <w:tcW w:w="651" w:type="dxa"/>
            <w:tcBorders>
              <w:left w:val="single" w:sz="2" w:space="0" w:color="808080"/>
              <w:bottom w:val="single" w:sz="2"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Нет ❒</w:t>
            </w:r>
          </w:p>
        </w:tc>
      </w:tr>
      <w:tr>
        <w:trPr/>
        <w:tc>
          <w:tcPr>
            <w:tcW w:w="8451" w:type="dxa"/>
            <w:tcBorders>
              <w:left w:val="single" w:sz="6"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 Восстановление функции челюстно-лицевой области</w:t>
            </w:r>
          </w:p>
        </w:tc>
        <w:tc>
          <w:tcPr>
            <w:tcW w:w="536"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Да ❒</w:t>
            </w:r>
          </w:p>
        </w:tc>
        <w:tc>
          <w:tcPr>
            <w:tcW w:w="651" w:type="dxa"/>
            <w:tcBorders>
              <w:left w:val="single" w:sz="2" w:space="0" w:color="808080"/>
              <w:bottom w:val="single" w:sz="6" w:space="0" w:color="808080"/>
              <w:right w:val="single" w:sz="6" w:space="0" w:color="808080"/>
            </w:tcBorders>
            <w:vAlign w:val="center"/>
          </w:tcPr>
          <w:p>
            <w:pPr>
              <w:pStyle w:val="Style21"/>
              <w:bidi w:val="0"/>
              <w:jc w:val="left"/>
              <w:rPr>
                <w:rFonts w:ascii="ALSStory;Arial" w:hAnsi="ALSStory;Arial"/>
                <w:color w:val="000000"/>
                <w:sz w:val="21"/>
              </w:rPr>
            </w:pPr>
            <w:r>
              <w:rPr>
                <w:rFonts w:ascii="ALSStory;Arial" w:hAnsi="ALSStory;Arial"/>
                <w:color w:val="000000"/>
                <w:sz w:val="21"/>
              </w:rPr>
              <w:t>Нет ❒</w:t>
            </w:r>
          </w:p>
        </w:tc>
      </w:tr>
    </w:tbl>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Список использованной литературы</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Агапов, C. Особенности оперативного лечения больных с переломами мыщелкового отростка нижней челюсти / В.С. Агапов, А.Ю. Дробышев, О.Ф. Гусев // Тр. VII Всероссийского съезда стоматологов / – М., 2001. – С. 140 – 141.</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Агапов, C. Травматические повреждения мыщелкового отростка нижней челюсти и пути решения восстановления функции / В.С. Агапов, А.Ю. Дробышев, О.Ф. Гусев // Тр. VII Всероссийского съезда стоматологов. – М., 2001. – С. 143 – 144.</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Абдо, М.А. Сравнительная характеристика круглых и ленточных шин при лечении переломов нижней челюсти / М.А. Абдо // – Стоматология. – 1987. – № 6 – С. 28 –31.</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Аржанцев, П.З. Роль хирургического и ортопедического лечения в реабилитации раненых в челюстно-лицевую область / П.З. Аржанцев, В.Б. Горбуленков, В.Н. Марченко // Актуальные вопросы челюстно-лицевой хирургии в стоматологии: тез. статей и докладов. – М., 1996. – С. 15 – 18.</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Артюшкевич, А.С. Лечение переломов нижней челюсти в области подбородка при помощи пластин в виде рамки / А.С. Артюшкевич // Материалы Международной конф. чел.-лиц. хирургов. – Санкт-Петербург, 1996. – С.9.</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Архипов, В.Д. Совершенствование хирургической санации больных с переломом нижней челюсти / В.Д. Архипов // – Стоматология. – 1999. – № 5. – С. 52 – 54.</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Архипов, В.Д. Оптимизация местного лечения переломов нижней челюсти и разработка методов профилактики гнойно-воспалительных осложнений: автореф. дис. … докт. мед. наук: 14.00.21 / Архипов Вячеслав Дмитриевич Архипов ; ММСИ. – М., 1988. – 33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Баронов, А.И. Новый способ непрерывного лигатурного шинирования при лечении переломов челюстей / А.И. Баронов // – Стоматология. – 1967. – № 1. – С. 68 – 71.</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Васильев, C. Применение стандартных назубных ленточных шин из нержавеющей стали для лечения переломов челюстей / В.С. Васильев // –Организация помощи и лечения травм челюстно-лицевой области. – М., – 1970. –С. 80 – 81.</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Винерский, П.М. Профилактика осложнений при лечении переломов нижней челюсти в области угла / П.М. Винерский // – Стоматология: Респ. сб. Киев. – 1990. – №25. – С. 70 – 72.</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Волковец, А.Н. Обоснование лечения переломов нижней челюсти проволочными шинами, расположенными на язычной поверхности зубов: автореф. дис. … канд. мед. наук.: / Волковец Андрей Николаевич ; Минск, 1990. – 19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Дацко, А.А. Реализация современных принципов лечения повреждений челюстно-лицевой области / А.А. Дацко, Д.В. Тетюхин // Стоматология. -2003 № 1. - С. 17-21.</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Донской, В.В. Оперативно-ортопедический способ фиксации отломков при переломах нижней челюсти в пределах зубного ряда / В.В. Донской // Стоматология. -1990.-№5.-С.41-43.</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Дробышев, А.Ю. Реабилитация больных с дефектами челюстей с применением имплантатов / А.Ю. Дробышев, B.C. Агапов, A.A. Гаджикулиев // Материалы V Международной конференции челюстно-лицевых хирургов и стоматологов. СПб., 2000. - С. 52.</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Дробышев, А.Ю. Экспериментальное обоснование и практическое применение отечественных биокомпозиционных материалов при костно-восстановительных операциях на челюстях: дис. … д-ра мед. наук.: 14.00.21 / Дробышев Алексей Юрьевич. – М., 2001. – 278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Зотов, В.М. Современные методы лечения и реабилитации больных с множественной и сочетанной травмой челюстно-лицевой области: автореф. дис. … докт. мед. наук: 14.00.21 / Зотов Валентин Михайлович. – СамГМУ. – Самара, 1997. – 35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Зуев, В.П. Клеточные факторы иммунитета у больных с травматическим остеомиелитом нижней челюсти / В.П. Зуев, В.И. Литвинов // Стоматология. 1981. - Т.60. - № 3. - С. 42-44.</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Иващенко, Н.И. Разработка и внедрение методов лечения больных с переломами нижней челюсти : дис. в виде науч. докл. … канд. мед. наук / Иващенко Н… И… ; - М., 2000.-30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Крылов, Ю.Ф. Антибиотики и их использование в стоматологии / Ю.Ф. Крылов, Е.В. Зорян // - Стоматология. - 1997. - № 6. - С. 70-74.</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Лепилин, А.В. Динамика изменений системы иммунитета в посттравматическом периоде у больных с переломами нижней челюсти / А.В. Лепилин, Н.Л. Ерокина, В.Ю. Широков // Материалы 4-й Междунар. конф. челюстно-лицевых хирургов и стоматологов. - СП-б., 1999. - С. 92.</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Микроангио-графические исследования репаративной регенерации нижней челюсти при нормальной консолидации и травматическом остеомиелите / Швырков М.Б., Сумароков Д.Д., Сазонова И.А. и др. // Стоматология. - 1986. -т.65. - № 4. - С.13-16.</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Мингазов, Г.Г. «Биоплант» в профилактике гнойно-воспалительных осложнений повреждений нижней челюсти / Г.Г. Мингазов, А.М. Сулейманов // Тр. VI съезда Стоматологической ассоциации России. - М., 2007. - С. 327.</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Министерство здравоохранения и социального развития РФ: [Электронный ресурс] URL: http://www.rosminzdrav.ru/.</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МКБ-С: Международная классификация стоматологических болезней на основе МКБ-10: Перевод с англ. / ВОЗ: Науч. ред. А.Г.Колесник - 3-е изд. - М.: Медицина, 1997. – VIII, 248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МКБ-10, Международная статистическая классификация болезней и проблем, связанных со здоровьем, в 3-х томах - М., 2003.-2440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Новосядлая, Н.В. Клинико-иммунологические параллели неосложненного и осложненного течения переломов нижней челюсти и возможности иммунокоррекции: автореф. дис. …. канд. мед. наук.: 14.00.21 / Новосядская Наталья Васильевна ; Ростов н/Д., 2000. -25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Номенклатура работ и услуг в здравоохранении. Утверждена Минздравсоцразвития 12 июля 2004 г. – Москва: издательство «Ньюдиамед», 2004. – 211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Постановление Правительства Российской Федерации от 05.11.97 № 1387 «О мерах по стабилизации и развитию здравоохранения и медицинской науки в Российской Федерации» (Собрание законодательства Российской Федерации, 1997, № 46, ст. 5312).</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Приказ Минздравсоцразвития России №1664н от 27 декабря 2011г. «Об утверждении номенклатуры медицинских услуг» (ред. От 10.12.2014г.).</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Приказ Минздравсоцразвития Росии № 1496 н от 07 декабря 2011 г. «Об утверждении порядка оказание медпомощи взрослому населению при стоматологических заболеваниях».</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Протокол ведения больных. Кариес зубов. – М: Медицинская книга, 2011 – 76 стр.</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Протокол ведения больных. Частичное отсутствие зубов. Полное отсутствие зубов (полная вторичная адентия). - М: Медицинская книга, 2011 – 136 стр.</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Протокол ведения больных. Болезни периапикальных тканей. - М: Медицинская книга, 2011 – 116 стр.</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Протокол ведения больных. Болезни пульпы зуба. - М: Медицинская книга, 2011 – 104 стр.</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Панкратов, А.С. К вопросу о классификации переломов нижней челюсти. / А.С. Панкратов, Т.Г. Робустова // Стоматология. 2001. — №2. — С.29-32.</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Рабухина, Н.А. Рентгенодиагностика некоторых заболеваний зубочелюстной системы / Н.А. Рабухина. - М.: Медицина, 1974. - 280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Робустова, Т.Г. Сравнительная оценка травмы лицевого скелета за 1985-1989 гг. и 1995-1998 гг. // Тр. VI съезда Стоматологической ассоциации России - М., 2000. - С. 337-338.</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Робустова, Т.Г. Оценка иммунологического статуса при переломах нижней челюсти / Т.Г. Робустова, К.А. Лебедев, И.И. Каргаполова // - Стоматология. -1989.- № 1 - С.58 - 60.</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Робустова Т.Г. Обследование хирургического стоматологического больного // Хирургическая стоматология. М.: Медицина. - 2003. - С. 21-34.</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Робустова Т.Г., Стародубцев B.C. Обезболивание. В кн. «Хирургическая стоматология». // М.: Медицина. - 2006. - С. 299.</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Робустова, Т.Г. Травматический остеомиелит. / Т.Г. Робустова, B.C. Стародубцев // Хирургическая стоматология: учебник под ред. Т.Г. Робустовой. М., 2003. - С.345-348.</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Рудько, В.Ф. Костная пластика нижней челюсти : автореф. дис. …. канд. мед. наук.: 14.00.21 / Рудько Владимир Федорович; М., 1950. - 22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Стоматологической Ассоциации России [Электронный ресурс] URL: https://e-stomatology.ru/.</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Федеральный закон от 21 ноября 2011г. №323-ФЗ «Об основах охраны здоровья граждан в Российской Федерации» (ред. от 29.12.2015г. с изм. и доп. вступившими в силу с 01.01.2016г.) (Собрание законодательства Российской Федерации).</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Филиппов, С.В. Сравнительная клинико-иммунологическая характеристика течения переломов нижней челюсти у больных Якутска и Москвы / С.В. Филиппов, Ю.И. Чергештов, К.А. Лебедев // - Стоматология. -1998.- № 1 - С. 36-38.</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Холодов, С.В. Особенности питания больных с переломами нижней челюсти / С.В. Смирнов, Е.Н. Лебедев // Тр. Вопросы травматологии и восстановит, хирургии ЧЛО. Реабилитация. Профилактика. Осложнения - М., 1990. - С.41-43.</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Хирургическая стоматология: учебник/под ред. Т.Г. Робустова.-М.:Медицина.-2010.- С. 688.</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Швырков, М.Б. Неогнестрельные переломы челюстей / М.Б. Швырков, В.В. Афанасьев, В.С. Стародубцев. - М., Медицина. - 1999. - 335 с.</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Abubaker А.О. Postoperative antibiotic prophylaxis in mandibular fractures: A preliminary randomized; double-blind and placebo-controlled clinical study // J. Oral Maxillofac Surg. 2001 v.59 N 12 P. 1415- 1419.</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Cabrini Gabrielli M.A., Real Gabrielli M.F. Marcantonio E. et al. Fixation of mandibular fractures with 2, 0-mm miniplates: review of 191 cases // J. Oral. Surg., 2003. Vol. 61. - №4. - p. 430-436.</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Cho Y.S. Disseminated intravascular coagulation after a surger for a mandibular fracture // J. Oral Maxillofac Surg. 2001 v.59 N 1 P. 98-102.</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Feller K.U., Richter G., Schneider M., Eckelt // Combination of microplate and mini plate for osteosynthesis of mandibular fractures: an experimental study // J. Oral. Maxillofac. Surg., 2002. Vol. 31. - №1. - p. 78-83.</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Lamphier J., Ziccardi V., Ruvo A. et al. Complications of mandibular fractures in an urban teaching centre // J. oral Maxillofac., 2003. Vol. 61. -№7. - p. 745-749.</w:t>
      </w:r>
    </w:p>
    <w:p>
      <w:pPr>
        <w:pStyle w:val="Style17"/>
        <w:widowControl/>
        <w:numPr>
          <w:ilvl w:val="0"/>
          <w:numId w:val="1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Schon R., Roveda S.L., Carter B. Mandibular fractures in Townsville, Australia: Incidence, etiology and treatment using the 2.0 AO/ASIF miniplate system // Oral Maxillofac., 2001. Vol. 39. - p. 145-148.</w:t>
      </w:r>
    </w:p>
    <w:p>
      <w:pPr>
        <w:pStyle w:val="Style17"/>
        <w:widowControl/>
        <w:numPr>
          <w:ilvl w:val="0"/>
          <w:numId w:val="18"/>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Yerit K.C., Enslidis G., Schopper C. et al. Fixation of mandibular fractures withbiodegradable plates and screws // Oral Surg., Oral Med., Oral Pahol. 2002 v.93 N 3 P.294-300.</w:t>
      </w:r>
    </w:p>
    <w:p>
      <w:pPr>
        <w:pStyle w:val="Normal"/>
        <w:bidi w:val="0"/>
        <w:jc w:val="left"/>
        <w:rPr>
          <w:color w:val="000000"/>
        </w:rPr>
      </w:pPr>
      <w:r>
        <w:rPr>
          <w:color w:val="000000"/>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OpenSymbol">
    <w:altName w:val="Arial Unicode MS"/>
    <w:charset w:val="02"/>
    <w:family w:val="auto"/>
    <w:pitch w:val="default"/>
  </w:font>
  <w:font w:name="Arial">
    <w:charset w:val="cc"/>
    <w:family w:val="swiss"/>
    <w:pitch w:val="variable"/>
  </w:font>
  <w:font w:name="ALSStory">
    <w:altName w:val="Arial"/>
    <w:charset w:val="cc"/>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4">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7">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8">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1">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2">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3">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4">
    <w:lvl w:ilvl="0">
      <w:start w:val="1"/>
      <w:numFmt w:val="decimal"/>
      <w:suff w:val="nothing"/>
      <w:lvlText w:val="%1."/>
      <w:lvlJc w:val="left"/>
      <w:pPr>
        <w:tabs>
          <w:tab w:val="num" w:pos="709"/>
        </w:tabs>
        <w:ind w:left="709" w:hanging="0"/>
      </w:pPr>
      <w:rPr/>
    </w:lvl>
    <w:lvl w:ilvl="1">
      <w:start w:val="1"/>
      <w:numFmt w:val="bullet"/>
      <w:suff w:val="nothing"/>
      <w:lvlText w:val=""/>
      <w:lvlJc w:val="left"/>
      <w:pPr>
        <w:tabs>
          <w:tab w:val="num" w:pos="1418"/>
        </w:tabs>
        <w:ind w:left="1418" w:hanging="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9">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Unicode MS"/>
        <w:kern w:val="2"/>
        <w:sz w:val="24"/>
        <w:szCs w:val="24"/>
        <w:lang w:val="ru-RU" w:eastAsia="zh-CN" w:bidi="hi-IN"/>
      </w:rPr>
    </w:rPrDefault>
    <w:pPrDefault>
      <w:pPr>
        <w:widowControl/>
        <w:suppressAutoHyphens w:val="true"/>
      </w:pPr>
    </w:pPrDefault>
  </w:docDefaults>
  <w:style w:type="paragraph" w:styleId="Normal">
    <w:name w:val="Normal"/>
    <w:qFormat/>
    <w:pPr>
      <w:widowControl/>
      <w:bidi w:val="0"/>
    </w:pPr>
    <w:rPr>
      <w:rFonts w:ascii="Times New Roman" w:hAnsi="Times New Roman" w:eastAsia="NSimSun" w:cs="Arial Unicode MS"/>
      <w:color w:val="auto"/>
      <w:kern w:val="2"/>
      <w:sz w:val="24"/>
      <w:szCs w:val="24"/>
      <w:lang w:val="ru-RU" w:eastAsia="zh-CN" w:bidi="hi-IN"/>
    </w:rPr>
  </w:style>
  <w:style w:type="paragraph" w:styleId="1">
    <w:name w:val="Heading 1"/>
    <w:basedOn w:val="Style16"/>
    <w:next w:val="Style17"/>
    <w:qFormat/>
    <w:pPr>
      <w:spacing w:before="240" w:after="120"/>
      <w:outlineLvl w:val="0"/>
    </w:pPr>
    <w:rPr>
      <w:rFonts w:ascii="Times New Roman" w:hAnsi="Times New Roman" w:eastAsia="NSimSun" w:cs="Arial Unicode MS"/>
      <w:b/>
      <w:bCs/>
      <w:sz w:val="48"/>
      <w:szCs w:val="48"/>
    </w:rPr>
  </w:style>
  <w:style w:type="paragraph" w:styleId="2">
    <w:name w:val="Heading 2"/>
    <w:basedOn w:val="Style16"/>
    <w:next w:val="Style17"/>
    <w:qFormat/>
    <w:pPr>
      <w:spacing w:before="200" w:after="120"/>
      <w:outlineLvl w:val="1"/>
    </w:pPr>
    <w:rPr>
      <w:rFonts w:ascii="Times New Roman" w:hAnsi="Times New Roman" w:eastAsia="NSimSun" w:cs="Arial Unicode MS"/>
      <w:b/>
      <w:bCs/>
      <w:sz w:val="36"/>
      <w:szCs w:val="36"/>
    </w:rPr>
  </w:style>
  <w:style w:type="paragraph" w:styleId="3">
    <w:name w:val="Heading 3"/>
    <w:basedOn w:val="Style16"/>
    <w:next w:val="Style17"/>
    <w:qFormat/>
    <w:pPr>
      <w:spacing w:before="140" w:after="120"/>
      <w:outlineLvl w:val="2"/>
    </w:pPr>
    <w:rPr>
      <w:rFonts w:ascii="Times New Roman" w:hAnsi="Times New Roman" w:eastAsia="NSimSun" w:cs="Arial Unicode MS"/>
      <w:b/>
      <w:bCs/>
      <w:sz w:val="28"/>
      <w:szCs w:val="28"/>
    </w:rPr>
  </w:style>
  <w:style w:type="character" w:styleId="Style11">
    <w:name w:val="Emphasis"/>
    <w:qFormat/>
    <w:rPr>
      <w:i/>
      <w:iCs/>
    </w:rPr>
  </w:style>
  <w:style w:type="character" w:styleId="Style12">
    <w:name w:val="Strong"/>
    <w:qFormat/>
    <w:rPr>
      <w:b/>
      <w:bCs/>
    </w:rPr>
  </w:style>
  <w:style w:type="character" w:styleId="Style13">
    <w:name w:val="Маркеры"/>
    <w:qFormat/>
    <w:rPr>
      <w:rFonts w:ascii="OpenSymbol" w:hAnsi="OpenSymbol" w:eastAsia="OpenSymbol" w:cs="OpenSymbol"/>
    </w:rPr>
  </w:style>
  <w:style w:type="character" w:styleId="Style14">
    <w:name w:val="Символ нумерации"/>
    <w:qFormat/>
    <w:rPr/>
  </w:style>
  <w:style w:type="character" w:styleId="Style15">
    <w:name w:val="Hyperlink"/>
    <w:rPr>
      <w:color w:val="000080"/>
      <w:u w:val="single"/>
      <w:lang w:val="zxx" w:eastAsia="zxx" w:bidi="zxx"/>
    </w:rPr>
  </w:style>
  <w:style w:type="paragraph" w:styleId="Style16">
    <w:name w:val="Заголовок"/>
    <w:basedOn w:val="Normal"/>
    <w:next w:val="Style17"/>
    <w:qFormat/>
    <w:pPr>
      <w:keepNext w:val="true"/>
      <w:spacing w:before="240" w:after="120"/>
    </w:pPr>
    <w:rPr>
      <w:rFonts w:ascii="Arial" w:hAnsi="Arial" w:eastAsia="Microsoft YaHei" w:cs="Arial Unicode MS"/>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Unicode MS"/>
    </w:rPr>
  </w:style>
  <w:style w:type="paragraph" w:styleId="Style19">
    <w:name w:val="Caption"/>
    <w:basedOn w:val="Normal"/>
    <w:qFormat/>
    <w:pPr>
      <w:suppressLineNumbers/>
      <w:spacing w:before="120" w:after="120"/>
    </w:pPr>
    <w:rPr>
      <w:rFonts w:cs="Arial Unicode MS"/>
      <w:i/>
      <w:iCs/>
      <w:sz w:val="24"/>
      <w:szCs w:val="24"/>
    </w:rPr>
  </w:style>
  <w:style w:type="paragraph" w:styleId="Style20">
    <w:name w:val="Указатель"/>
    <w:basedOn w:val="Normal"/>
    <w:qFormat/>
    <w:pPr>
      <w:suppressLineNumbers/>
    </w:pPr>
    <w:rPr>
      <w:rFonts w:cs="Arial Unicode MS"/>
      <w:lang w:val="zxx" w:eastAsia="zxx" w:bidi="zxx"/>
    </w:rPr>
  </w:style>
  <w:style w:type="paragraph" w:styleId="Style21">
    <w:name w:val="Содержимое таблицы"/>
    <w:basedOn w:val="Normal"/>
    <w:qFormat/>
    <w:pPr>
      <w:widowControl w:val="false"/>
      <w:suppressLineNumbers/>
    </w:pPr>
    <w:rPr/>
  </w:style>
  <w:style w:type="paragraph" w:styleId="Style22">
    <w:name w:val="Заголовок таблицы"/>
    <w:basedOn w:val="Style21"/>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LibreOffice/7.4.2.3$Windows_X86_64 LibreOffice_project/382eef1f22670f7f4118c8c2dd222ec7ad009daf</Application>
  <AppVersion>15.0000</AppVersion>
  <Pages>27</Pages>
  <Words>9280</Words>
  <Characters>67430</Characters>
  <CharactersWithSpaces>75722</CharactersWithSpaces>
  <Paragraphs>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2023-08-24T11:33:09Z</dcterms:created>
  <dc:creator/>
  <dc:description/>
  <dc:language>ru-RU</dc:language>
  <cp:lastModifiedBy/>
  <dcterms:modified xsi:type="dcterms:W3CDTF">2023-08-24T11:35:06Z</dcterms:modified>
  <cp:revision>1</cp:revision>
  <dc:subject/>
  <dc:title/>
</cp:coreProperties>
</file>