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2"/>
        <w:bidi w:val="0"/>
        <w:spacing w:before="200" w:after="12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КЛИНИЧЕСКИЕ РЕКОМЕНДАЦИИ (ПРОТОКОЛЫ ЛЕЧЕНИЯ)</w:t>
      </w:r>
    </w:p>
    <w:p>
      <w:pPr>
        <w:pStyle w:val="1"/>
        <w:widowControl/>
        <w:pBdr/>
        <w:bidi w:val="0"/>
        <w:spacing w:before="0" w:after="150"/>
        <w:ind w:left="0" w:right="0" w:hanging="0"/>
        <w:jc w:val="center"/>
        <w:rPr>
          <w:rFonts w:ascii="ALSStory;Arial" w:hAnsi="ALSStory;Arial"/>
          <w:b w:val="false"/>
          <w:i w:val="false"/>
          <w:caps w:val="false"/>
          <w:smallCaps w:val="false"/>
          <w:color w:val="000000"/>
          <w:spacing w:val="0"/>
          <w:sz w:val="32"/>
        </w:rPr>
      </w:pPr>
      <w:r>
        <w:rPr>
          <w:rFonts w:ascii="ALSStory;Arial" w:hAnsi="ALSStory;Arial"/>
          <w:b w:val="false"/>
          <w:i w:val="false"/>
          <w:caps w:val="false"/>
          <w:smallCaps w:val="false"/>
          <w:color w:val="000000"/>
          <w:spacing w:val="0"/>
          <w:sz w:val="32"/>
        </w:rPr>
        <w:t>ЛЕЙКЕДЕМА</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Москва 2013</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 лечения) при заболевании слизистой оболочки рта «Лейкоплакия» разработаны Федеральным государственным бюджетным учреждением "Центральный научно-исследовательский институт стоматологии и челюстно-лицевой хирургии" Министерства здравоохранения Российской Федерации (ФГБУ "ЦНИИС и ЧЛХ" Минздрава России) (Вагнер В.Д., Рабинович О.Ф., Рабинович И.М., Смирнова Л.Е., Селиверстова Е.А.) и Государственным бюджетным образовательным учреждением «Московский государственный медико-стоматологический университет им. А.И.Евдокимова» Министерства здравоохранения Российской Федерации (ГБОУ ВПО МГМСУ им. А.И. Евдокимова Минздрава России) (Кузьмина Э.М., Максимовская Л.Н., Малый А.Ю., Эктова А.И., Цицкишвили В.Т.).</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 ОБЛАСТЬ ПРИМЕНЕНИЯ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 лечения) при заболевании слизистой оболочки рта «Лейкедема» предназначены для применения в системе здравоохранения Российской Федерации.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II. НОРМАТИВНЫЕ ССЫЛКИ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настоящем протоколе использованы ссылки на следующие документы: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Федеральный закон «Об основах охраны здоровья граждан в Российской Федерации» от 21 ноября 2011г. №323-ФЗ (Собрание законодательства Российской Федерации, 2011, № 48, ст. 6724).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Постановление Правительства Российской Федерации «О мерах по стабилизации и развитию здравоохранения и медицинской науки в Российской Федерации» от 05.11.97 г. № 1387 (Собрание законодательства Российской Федерации, 1997, № 46, ст. 5312).</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22 октября 2012 г. № 1074 (Собрание законодательства Российской Федерации, 2012, №44, ст.6021).</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Приказ Минздравсоцразвития России «Об утверждении номенклатуры медицинских услуг» от 27 декабря 2011г. №1664н.</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Приказ Минздравсоцразвития России «Об утверждении Порядка оказания медицинской помощи взрослому населению при стоматологических заболеваниях» от 7 декабря 2011 г. № 1496н.</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III. ОБОЗНАЧЕНИЯ И СОКРАЩЕНИЯ</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В настоящем протоколе использованы следующие обозначения и сокращения</w:t>
      </w:r>
      <w:r>
        <w:rPr>
          <w:rStyle w:val="Style11"/>
          <w:rFonts w:ascii="ALSStory;Arial" w:hAnsi="ALSStory;Arial"/>
          <w:b w:val="false"/>
          <w:i w:val="false"/>
          <w:caps w:val="false"/>
          <w:smallCaps w:val="false"/>
          <w:color w:val="000000"/>
          <w:spacing w:val="0"/>
          <w:sz w:val="21"/>
        </w:rPr>
        <w:t>:</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МКБ-10 – Международная статистическая классификация болезней и проблем, связанных со здоровьем десятого пересмотра.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МКБ-С – Международная классификация стоматологических болезней на основе МКБ-10.</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ВОЗ – Всемирная Организация Здравоохранения.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СОР – Слизистая оболочка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ФДТ – Фотодинамическая терапия.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IV. ОБЩИЕ ПОЛОЖЕНИЯ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 лечения) при заболевании слизистой оболочки рта «Лейкедема» разработаны для решения следующих задач:</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установление единых требований к порядку диагностики и лечения больных с лейкедемой;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унификация разработки базовых программ обязательного медицинского страховании и оптимизация медицинской помощи больным с лейкедемой;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обеспечение оптимальных объемов, доступности и качества медицинской помощи, оказываемой пациенту в медицинской организации.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настоящем документе используется шкала убедительности доказательств данных:</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A) Доказательства убедительны: </w:t>
      </w:r>
      <w:r>
        <w:rPr>
          <w:rFonts w:ascii="ALSStory;Arial" w:hAnsi="ALSStory;Arial"/>
          <w:b w:val="false"/>
          <w:i w:val="false"/>
          <w:caps w:val="false"/>
          <w:smallCaps w:val="false"/>
          <w:color w:val="000000"/>
          <w:spacing w:val="0"/>
          <w:sz w:val="21"/>
        </w:rPr>
        <w:t>есть веские доказательства предлагаемому утверждению.</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B) Относительная убедительность доказательств</w:t>
      </w:r>
      <w:r>
        <w:rPr>
          <w:rFonts w:ascii="ALSStory;Arial" w:hAnsi="ALSStory;Arial"/>
          <w:b w:val="false"/>
          <w:i w:val="false"/>
          <w:caps w:val="false"/>
          <w:smallCaps w:val="false"/>
          <w:color w:val="000000"/>
          <w:spacing w:val="0"/>
          <w:sz w:val="21"/>
        </w:rPr>
        <w:t>: есть достаточно доказательств в пользу того, чтобы рекомендовать данное предложение.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C) Достаточных доказательств нет</w:t>
      </w:r>
      <w:r>
        <w:rPr>
          <w:rFonts w:ascii="ALSStory;Arial" w:hAnsi="ALSStory;Arial"/>
          <w:b w:val="false"/>
          <w:i w:val="false"/>
          <w:caps w:val="false"/>
          <w:smallCaps w:val="false"/>
          <w:color w:val="000000"/>
          <w:spacing w:val="0"/>
          <w:sz w:val="21"/>
        </w:rPr>
        <w:t>: имеющихся доказательств недостаточно для вынесения рекомендации, но рекомендации могут быть даны с учетом иных обстоятельств.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D) Достаточно отрицательных доказательств</w:t>
      </w:r>
      <w:r>
        <w:rPr>
          <w:rFonts w:ascii="ALSStory;Arial" w:hAnsi="ALSStory;Arial"/>
          <w:b w:val="false"/>
          <w:i w:val="false"/>
          <w:caps w:val="false"/>
          <w:smallCaps w:val="false"/>
          <w:color w:val="000000"/>
          <w:spacing w:val="0"/>
          <w:sz w:val="21"/>
        </w:rPr>
        <w:t>: имеется достаточно доказательств, чтобы рекомендовать отказаться от применения в определенных условиях данного лекарственного средства, метода, технологии.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E) Веские отрицательные доказательства</w:t>
      </w:r>
      <w:r>
        <w:rPr>
          <w:rFonts w:ascii="ALSStory;Arial" w:hAnsi="ALSStory;Arial"/>
          <w:b w:val="false"/>
          <w:i w:val="false"/>
          <w:caps w:val="false"/>
          <w:smallCaps w:val="false"/>
          <w:color w:val="000000"/>
          <w:spacing w:val="0"/>
          <w:sz w:val="21"/>
        </w:rPr>
        <w:t>: имеются достаточно убедительные доказательства того, чтобы исключить лекарственное средство, метод, технологию из рекомендаций.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 ВЕДЕНИЕ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Ведение Протокола при заболевании слизистой оболочки рта «Лейкедема» осуществляется ФГБУ "ЦНИИС и ЧЛХ" Минздрава России и ГБОУ ВПО МГМСУ им. А.И. Евдокимова Минздрава России. Система ведения предусматривает взаимодействие ФГБУ "ЦНИИС и ЧЛХ" Минздрава России и ГБОУ ВПО «МГМСУ им. А.И. Евдокимова» Минздрава России со всеми заинтересованными организациями.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 ОБЩИЕ ВОПРОСЫ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общей структуре оказания медицинской помощи больным в стоматологических медицинских организациях лейкедема возникает преимущественно в молодом возрасте, от 12 до 45 лет, в основном у лиц мужского пола, хотя болеют и женщины. Она протекает без особых субъективных ощущений. Возможны жалобы на шероховатость слизистой оболочки, шелушение, чувство утолщенной «лишней» ткани, понижение температурной и вкусовой чувствительности. Скусывая систематически поверхностные выступающие участки слизистой оболочки, больные не ощущают боли. Кусание слизистой оболочки является привычкой, наблюдаемой у большинства больных.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Гистологическое исследование позволяет дать наиболее объективную и достоверную информацию о структурных изменениях ткани - патологического процесса на субклеточном уровне. При данной патологии отмечается утолщение эпителия, выраженное набухание клеток шиповатого слоя без признаков воспаления.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Лейкедема онкологической настороженности не представляет.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ОПРЕДЕЛЕНИЕ ПОНЯТИЯ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Лейкедема – заболевание слизистой оболочки рта (СОР), проявляющееся в виде опалесцируюшего участка молочно-белого или серого цвета, слегка возвышающегося над уровнем слизистой оболочки, без признаков воспаления окружающей ткани.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ЭТИОЛОГИЯ И ПАТОГЕНЕЗ</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Причина развития лейкедемы окончательно не установлена. Основными предрасполагающими и отягощающими течение данного заболевания факторами служат эмоциональные перегрузки, нервно-психические травмы, длительное переутомление, невротическая депрессия и др. У некоторых пациентов выявлены вредные привычки в виде длительного курения крепких сортов табака, привычного закусывания зубами слизистой оболочки, употребления горячего чая и кофе вместе с алкогольными напитками. Часто у этой категории больных выявлялась плохая гигиена рта с наличием большого количества кариозных зубов, зубных отложений, болезней тканей пародонта, что поддерживало патологическое состояние слизистой оболочки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КЛИНИЧЕСКАЯ КАРТИНА ЛЕЙКЕДЕМЫ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Признаки заболевания характеризуются очагами ороговения слизистой оболочки. Кератоз бывает ограниченным (чаще всего на слизистой оболочке щек и по линии смыкания зубов) или диффузным на слизистой оболочке щек, губ. Участок ороговения обычно белого цвета, слегка возвышающийся над уровнем слизистой оболочки, самые поверхностные участки удается снять шпателем. Подлежащая и окружающая слизистая оболочка обычно без признаков воспаления. Заболевание стабильно по своему течению и может быть представлено двумя клиническими формами: типичной (очаговой, диффузной) и атипичной. Клинические наблюдения установили возможность перехода одной формы лейкедемы другую.</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Типичная (а именно, очаговая) форма наиболее распространена.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Жалобы больного сводятся к ощущению сухости на ограниченных участках.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осмотре выявляются очаги гиперплазии и десквамации эпителия. Локализуются очаги на слизистой оболочке щек по линии смыкания зубов, у углов рта, на нижней губе, боковых поверхностях языка, на слизистой оболочки неба, дна рта, деснах. При типичной диффузной форме больной жалуется на шероховатость, сухость слизистой оболочки рта. Иногда отмечает, что измененные участки мешают во время разговора, приема пищи. Наблюдается понижение температурной и вкусовой чувствительности. При осмотре обнаруживается поражение слизистой оболочки губ, щек, боковых поверхностей языка, дна рта одновременно. Участки разрыхлены, пористы, гипертрофированны. Иногда слизистая оболочка походит на «мочалку».</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Особенностью при диффузной форме является то, что в процесс вовлекаются губы. Основное проявление заболевания выражается полосой тонких чешуек на границе красной каймы и слизистой оболочки губ в зоне Клейна. Локализуется на обеих губах, реже — только на нижней. Сухость губ проявляется чешуйками, которые прозрачны и удерживаются одной только стороной, другая — свободна. Обострений заболевания не отмечается.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Основной отличительной особенностью атипичной формы является отсутствие выраженного шелушения. Жалоб со стороны больных обычно не бывает. При осмотре можно установить участок диффузнопомутненной слизистой оболочки на щеках или губах. Иногда эта форма представлена только возвышающейся над слизистой оболочкой опалесцирующей полосой по линии смыкания зубов. При атипичной форме красная кайма губ не поражается.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Характерным признаком лейкедемы служит выраженное уменьшение или исчезновение белизны поражённого участка при растягивании слизистой оболочки.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КЛАССИФИКАЦИЯ ЛЕЙКЕДЕМЫ по МКБ-C:</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КЛАСС XI: БОЛЕЗНИ ОРГАНОВ ПИЩЕВАРЕНИЯ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K13.2 ЛЕЙКОПЛАКИЯ И ДРУГИЕ ИЗМЕНЕНИЯ ЭПИТЕЛИЯ ПОЛОСТИ РТА, ВКЛЮЧАЯ ЯЗЫК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K13.23 Лейкедема;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ОБЩИЕ ПОДХОДЫ К ДИАГНОСТИКЕ ЛЕЙКЕДЕМЫ.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Диагностика лейкедемы проводится путем сбора анамнеза, клинического осмотра, проведения дополнительных методов обследования; направлена на определение состояния тканей СОР и показаний к лечению, а также на выявление в анамнезе факторов, способствующих ухудшению состояния и препятствующих немедленному началу лечения. Такими факторами могут быть:</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непереносимость лекарственных препаратов и материалов, используемых на данном этапе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неадекватное психо-эмоциональное состояние пациента перед лечением;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угрожающее жизни острое состояние/заболевание или обострение хронического заболевания (в том числе инфаркт миокарда, острое нарушение мозгового кровообращения и т.п), развившееся менее чем за 6 месяцев до момента обращения за данной стоматологической помощью;</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отказ от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Гистологическое исследование позволяет дать наиболее объективную и достоверную информацию о структурных изменениях ткани - патологического процесса на субклеточном уровне. При данной патологии отмечается незначительное утолщение эпителия, слабо выраженное набухание клеток шиповатого слоя без признаков воспаления.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ОБЩИЕ ПОДХОДЫ К ЛЕЧЕНИЮ ЛЕЙКЕДЕМЫ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Принципы лечения больных с лейкедемой предусматривают одновременное решение нескольких задач:</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предупреждение травмирования СОР, вызванного дефектами в зубных рядах, острыми краями разрушенных зубов и зубными протезами, курением, а также защита от действия неблагоприятных метеорологических факторов;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устранение очага лейкедемы;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повышение общей резистентности организма;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повышение качества жизни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проведение профилактических осмотров населения с целью санации и проведение индивидуальной санитарно-просветительной работы;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обязательное диспансерное наблюдение за больными лейкедемой у врача-стоматолога 2-3 раза в год с оценкой состояния зубо - челюстной системы и зубных протезов при их наличии;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 подозрении на наличие соматических заболеваний консультация и/или лечение у специалистов соответствующего профиля;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Лечение лейкедемы включает: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составление плана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 необходимости выполнение биопсии и гистологическое исследования;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санацию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обучение пациентов гигиене, тщательному уходу за ртом и мотивация к отказу от вредных привычек, особенно важен отказ от курения;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лекарственная терапия.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лечении лейкедемы применяются только те лекарственные средства, которые разрешены к применению на территории Российской Федерации в установленном порядке.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ОРГАНИЗАЦИЯ МЕДИЦИНСКОЙ ПОМОЩИ ПАЦИЕНТАМ С ЛЕЙКЕДЕМОЙ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Лечение пациентов с лейкедемой проводится в стоматологических медицинских организациях в амбулаторно-поликлинических условиях, в стоматологических кабинетах, оснащенных в соответствии с приложением 1.</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Оказание помощи больным с лейкедемой осуществляется в основном врачами-стоматологами общей практики, врачами-стоматологами-терапевтами, врачами-стоматологами-хирургами, врачами-стоматологами-ортопедами, зубными врачами, врачами – физиотерапевтами. В процессе оказания помощи принимает участие средний медицинский персонал.</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VII. ХАРАКТЕРИСТИКА ТРЕБОВАНИЙ ПРОТОКОЛА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лейкедема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w:t>
      </w:r>
      <w:r>
        <w:rPr>
          <w:rFonts w:ascii="ALSStory;Arial" w:hAnsi="ALSStory;Arial"/>
          <w:b w:val="false"/>
          <w:i w:val="false"/>
          <w:caps w:val="false"/>
          <w:smallCaps w:val="false"/>
          <w:color w:val="000000"/>
          <w:spacing w:val="0"/>
          <w:sz w:val="21"/>
        </w:rPr>
        <w:t> типичная очаговая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K13.23</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Из анамнеза, имеется вредная привычка скусывать слизистую оболочку щек, губ; чередование разных температур при приеме пищи, употребление крепкого кофе, чая, спиртных напитков, очень острой пищи, в некоторых случаях на фоне психоневрологического статуса.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Локализация: слизистая оболочка губ, щек, реже дна рта.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3. </w:t>
      </w:r>
      <w:r>
        <w:rPr>
          <w:rFonts w:ascii="ALSStory;Arial" w:hAnsi="ALSStory;Arial"/>
          <w:b w:val="false"/>
          <w:i w:val="false"/>
          <w:caps w:val="false"/>
          <w:smallCaps w:val="false"/>
          <w:color w:val="000000"/>
          <w:spacing w:val="0"/>
          <w:sz w:val="21"/>
        </w:rPr>
        <w:t>Клинически проявляется набуханием СОР, шелушением, мацерацией. Очаги поражения мягкие, губчатые, мутные, рыхлые, не имеют четких границ.</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Эпителий имеет бахромистый вид, как бы «изъеденный молью».</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Поверхностный слой эпителия соскабливается шпателем с образованием поверхностной мацерации без признаков воспаления.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6. </w:t>
      </w:r>
      <w:r>
        <w:rPr>
          <w:rFonts w:ascii="ALSStory;Arial" w:hAnsi="ALSStory;Arial"/>
          <w:b w:val="false"/>
          <w:i w:val="false"/>
          <w:caps w:val="false"/>
          <w:smallCaps w:val="false"/>
          <w:color w:val="000000"/>
          <w:spacing w:val="0"/>
          <w:sz w:val="21"/>
        </w:rPr>
        <w:t>Гистологически отмечается утолщение эпителия, выраженное набухание клеток шиповатого слоя без признаков воспаления.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7.1.3. Требования к диагностике амбулаторно-поликлинической</w:t>
      </w:r>
    </w:p>
    <w:tbl>
      <w:tblPr>
        <w:tblW w:w="9638" w:type="dxa"/>
        <w:jc w:val="left"/>
        <w:tblInd w:w="-7" w:type="dxa"/>
        <w:tblLayout w:type="fixed"/>
        <w:tblCellMar>
          <w:top w:w="45" w:type="dxa"/>
          <w:left w:w="45" w:type="dxa"/>
          <w:bottom w:w="45" w:type="dxa"/>
          <w:right w:w="45" w:type="dxa"/>
        </w:tblCellMar>
      </w:tblPr>
      <w:tblGrid>
        <w:gridCol w:w="1316"/>
        <w:gridCol w:w="6300"/>
        <w:gridCol w:w="2022"/>
      </w:tblGrid>
      <w:tr>
        <w:trPr/>
        <w:tc>
          <w:tcPr>
            <w:tcW w:w="131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300"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2022"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B01.027.001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врача-онколога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В01.047.01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врача-терапевта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гастроэнтеролога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B01.033.001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врача-профпатолога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B01.008.001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врача-дерматовенеролога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B01.058.001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врача-эндокринолога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B04.023.002</w:t>
            </w:r>
          </w:p>
        </w:tc>
        <w:tc>
          <w:tcPr>
            <w:tcW w:w="630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невролога</w:t>
            </w:r>
          </w:p>
        </w:tc>
        <w:tc>
          <w:tcPr>
            <w:tcW w:w="202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Исследование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обследования СОР, приступают к определению прикуса, выявлению аномалий положения отдельных зубов, а также зубных рядов в целом, наличие трем, диастем.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Обследованию подлежат все зубы. Начинают осмотр с правых верхних моляров и заканчивают правыми нижними молярами.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Silness-Loe). Индексы гигиены рта определяют до лечения и после обучения гигиене рта с целью контроля.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гистологическое исследование.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7.1.5. Требования к лечению амбулаторно-поликлиническому</w:t>
      </w:r>
    </w:p>
    <w:tbl>
      <w:tblPr>
        <w:tblW w:w="9638" w:type="dxa"/>
        <w:jc w:val="left"/>
        <w:tblInd w:w="-7" w:type="dxa"/>
        <w:tblLayout w:type="fixed"/>
        <w:tblCellMar>
          <w:top w:w="45" w:type="dxa"/>
          <w:left w:w="45" w:type="dxa"/>
          <w:bottom w:w="45" w:type="dxa"/>
          <w:right w:w="45" w:type="dxa"/>
        </w:tblCellMar>
      </w:tblPr>
      <w:tblGrid>
        <w:gridCol w:w="1725"/>
        <w:gridCol w:w="6110"/>
        <w:gridCol w:w="1803"/>
      </w:tblGrid>
      <w:tr>
        <w:trPr/>
        <w:tc>
          <w:tcPr>
            <w:tcW w:w="172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110"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03"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А13.30.007</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рта</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 терапевта повторный</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11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врача-гастроэнтеролога</w:t>
            </w:r>
          </w:p>
        </w:tc>
        <w:tc>
          <w:tcPr>
            <w:tcW w:w="1803"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7), удаление зубного камня, пришлифование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7.1.7. Требования к лекарственной помощи амбулаторно-поликлинической</w:t>
      </w:r>
    </w:p>
    <w:tbl>
      <w:tblPr>
        <w:tblW w:w="7608" w:type="dxa"/>
        <w:jc w:val="left"/>
        <w:tblInd w:w="-7" w:type="dxa"/>
        <w:tblLayout w:type="fixed"/>
        <w:tblCellMar>
          <w:top w:w="45" w:type="dxa"/>
          <w:left w:w="45" w:type="dxa"/>
          <w:bottom w:w="45" w:type="dxa"/>
          <w:right w:w="45" w:type="dxa"/>
        </w:tblCellMar>
      </w:tblPr>
      <w:tblGrid>
        <w:gridCol w:w="3492"/>
        <w:gridCol w:w="4116"/>
      </w:tblGrid>
      <w:tr>
        <w:trPr/>
        <w:tc>
          <w:tcPr>
            <w:tcW w:w="3492"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1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492"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Витаминотерапия (витамины А, Е)</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492"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492"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492"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492"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Седативные</w:t>
            </w:r>
          </w:p>
        </w:tc>
        <w:tc>
          <w:tcPr>
            <w:tcW w:w="411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Больным назначается прием препаратов общего воздействия – витаминов группы А, Е, микроэлементы. Витамин А назначается внутрь, 3 раза в день, в течении 1 месяца, Витамин Е (100 М.Е., 200 М.Е., 300 М.Е., 400 М.Е.), в течении 1 месяца. Кератопластики апплицируют на СОР на элементы поражения или в виде ротовых ванночек, полоскания по 1-2 мин., 2-3р. в день, 14 дней; витамин Е, оливковое масло в виде аппликации на марлевой салфетке, на элементы поражения, 2-3 р. в день, 14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назначают седативные препараты.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лейкедемой рекомендуется употреблять в пищу продукты, богатые витамином А, В, С и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8).</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7.1.13. Дополнительная информация для пациента и членов его семьи (</w:t>
      </w:r>
      <w:r>
        <w:rPr>
          <w:rFonts w:ascii="ALSStory;Arial" w:hAnsi="ALSStory;Arial"/>
          <w:b w:val="false"/>
          <w:i w:val="false"/>
          <w:caps w:val="false"/>
          <w:smallCaps w:val="false"/>
          <w:color w:val="000000"/>
          <w:spacing w:val="0"/>
          <w:sz w:val="21"/>
        </w:rPr>
        <w:t>приложение 9).</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лейкедемы,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соответствующего ведению «лейкедема»;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7.1.15. Возможные исходы и их характеристики</w:t>
      </w:r>
    </w:p>
    <w:tbl>
      <w:tblPr>
        <w:tblW w:w="9638" w:type="dxa"/>
        <w:jc w:val="left"/>
        <w:tblInd w:w="-7" w:type="dxa"/>
        <w:tblLayout w:type="fixed"/>
        <w:tblCellMar>
          <w:top w:w="45" w:type="dxa"/>
          <w:left w:w="45" w:type="dxa"/>
          <w:bottom w:w="45" w:type="dxa"/>
          <w:right w:w="45" w:type="dxa"/>
        </w:tblCellMar>
      </w:tblPr>
      <w:tblGrid>
        <w:gridCol w:w="1885"/>
        <w:gridCol w:w="1054"/>
        <w:gridCol w:w="2290"/>
        <w:gridCol w:w="2083"/>
        <w:gridCol w:w="2326"/>
      </w:tblGrid>
      <w:tr>
        <w:trPr/>
        <w:tc>
          <w:tcPr>
            <w:tcW w:w="18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05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 %</w:t>
            </w:r>
          </w:p>
        </w:tc>
        <w:tc>
          <w:tcPr>
            <w:tcW w:w="2290"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083"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32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8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0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35%</w:t>
            </w:r>
          </w:p>
        </w:tc>
        <w:tc>
          <w:tcPr>
            <w:tcW w:w="229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08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2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8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Выздоровление</w:t>
            </w:r>
          </w:p>
        </w:tc>
        <w:tc>
          <w:tcPr>
            <w:tcW w:w="10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35%</w:t>
            </w:r>
          </w:p>
        </w:tc>
        <w:tc>
          <w:tcPr>
            <w:tcW w:w="229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08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2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8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25%</w:t>
            </w:r>
          </w:p>
        </w:tc>
        <w:tc>
          <w:tcPr>
            <w:tcW w:w="229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08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32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8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05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0</w:t>
            </w:r>
          </w:p>
        </w:tc>
        <w:tc>
          <w:tcPr>
            <w:tcW w:w="2290"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083"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326"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лейкедема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w:t>
      </w:r>
      <w:r>
        <w:rPr>
          <w:rFonts w:ascii="ALSStory;Arial" w:hAnsi="ALSStory;Arial"/>
          <w:b w:val="false"/>
          <w:i w:val="false"/>
          <w:caps w:val="false"/>
          <w:smallCaps w:val="false"/>
          <w:color w:val="000000"/>
          <w:spacing w:val="0"/>
          <w:sz w:val="21"/>
        </w:rPr>
        <w:t>: типичная диффузная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K13.23</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Из анамнеза, имеется вредная привычка скусывать слизистую оболочку щек, губ; чередование разных температур при приеме пищи, употребление крепкого кофе, чая, спиртных напитков, очень острой пищи.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Основной морфологический элемент- чешуйка.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w:t>
      </w:r>
      <w:r>
        <w:rPr>
          <w:rFonts w:ascii="ALSStory;Arial" w:hAnsi="ALSStory;Arial"/>
          <w:b w:val="false"/>
          <w:i w:val="false"/>
          <w:caps w:val="false"/>
          <w:smallCaps w:val="false"/>
          <w:color w:val="000000"/>
          <w:spacing w:val="0"/>
          <w:sz w:val="21"/>
        </w:rPr>
        <w:t> Локализация: по линии смыкания зубов, на слизистой оболочке губы и реже дна рта.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Клинически проявляется набуханием СОР, шелушением, мацерацией. Очаги поражения мягкие, губчатые, мутные, рыхлые, не имеют четких границ.</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Эпителий имеет бахромистый вид, как бы «изъеденный молью», поверхностный слой эпителия соскабливается шпателем без образования эрозий и без признаков воспаления.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6. </w:t>
      </w:r>
      <w:r>
        <w:rPr>
          <w:rFonts w:ascii="ALSStory;Arial" w:hAnsi="ALSStory;Arial"/>
          <w:b w:val="false"/>
          <w:i w:val="false"/>
          <w:caps w:val="false"/>
          <w:smallCaps w:val="false"/>
          <w:color w:val="000000"/>
          <w:spacing w:val="0"/>
          <w:sz w:val="21"/>
        </w:rPr>
        <w:t>Гистологически отмечается утолщение эпителия, выраженное набухание клеток шиповатого слоя без признаков воспаления.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7.2.3. Требования к диагностике амбулаторно-поликлинической</w:t>
      </w:r>
    </w:p>
    <w:tbl>
      <w:tblPr>
        <w:tblW w:w="9638" w:type="dxa"/>
        <w:jc w:val="left"/>
        <w:tblInd w:w="-7" w:type="dxa"/>
        <w:tblLayout w:type="fixed"/>
        <w:tblCellMar>
          <w:top w:w="45" w:type="dxa"/>
          <w:left w:w="45" w:type="dxa"/>
          <w:bottom w:w="45" w:type="dxa"/>
          <w:right w:w="45" w:type="dxa"/>
        </w:tblCellMar>
      </w:tblPr>
      <w:tblGrid>
        <w:gridCol w:w="1316"/>
        <w:gridCol w:w="6300"/>
        <w:gridCol w:w="2022"/>
      </w:tblGrid>
      <w:tr>
        <w:trPr/>
        <w:tc>
          <w:tcPr>
            <w:tcW w:w="131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300"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2022"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B01.027.001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врача-онколога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В01.047.01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врача-терапевта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 - терапевта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гастроэнтеролога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B01.033.001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врача-профпатолога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B01.008.001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врача-дерматовенеролога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B01.058.001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врача-эндокринолога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B04.023.002</w:t>
            </w:r>
          </w:p>
        </w:tc>
        <w:tc>
          <w:tcPr>
            <w:tcW w:w="630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невролога</w:t>
            </w:r>
          </w:p>
        </w:tc>
        <w:tc>
          <w:tcPr>
            <w:tcW w:w="202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Исследование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обследования СОР, приступают к определению прикуса, выявлению аномалий положения отдельных зубов, а также зубных рядов в целом, наличие трем, диастем.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Обследованию подлежат все зубы. Начинают осмотр с правых верхних моляров и заканчивают правыми нижними молярами.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Silness-Loe). Индексы гигиены рта определяют до лечения и после обучения гигиене рта с целью контроля.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гистологическое исследование.</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7.2.5. Требования к лечению амбулаторно-поликлиническому</w:t>
      </w:r>
    </w:p>
    <w:tbl>
      <w:tblPr>
        <w:tblW w:w="9638" w:type="dxa"/>
        <w:jc w:val="left"/>
        <w:tblInd w:w="-7" w:type="dxa"/>
        <w:tblLayout w:type="fixed"/>
        <w:tblCellMar>
          <w:top w:w="45" w:type="dxa"/>
          <w:left w:w="45" w:type="dxa"/>
          <w:bottom w:w="45" w:type="dxa"/>
          <w:right w:w="45" w:type="dxa"/>
        </w:tblCellMar>
      </w:tblPr>
      <w:tblGrid>
        <w:gridCol w:w="1725"/>
        <w:gridCol w:w="6354"/>
        <w:gridCol w:w="1559"/>
      </w:tblGrid>
      <w:tr>
        <w:trPr/>
        <w:tc>
          <w:tcPr>
            <w:tcW w:w="172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35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55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А13.30.007</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рта</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А22.07.002</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Ультразвуковое удаление наддесневых зубных отложений</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В01.065.002</w:t>
            </w:r>
          </w:p>
        </w:tc>
        <w:tc>
          <w:tcPr>
            <w:tcW w:w="635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55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35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55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7), удаление зубного камня, пришлифование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7.2.7. Требования к лекарственной помощи амбулаторно-поликлинической</w:t>
      </w:r>
    </w:p>
    <w:tbl>
      <w:tblPr>
        <w:tblW w:w="7695" w:type="dxa"/>
        <w:jc w:val="left"/>
        <w:tblInd w:w="-7" w:type="dxa"/>
        <w:tblLayout w:type="fixed"/>
        <w:tblCellMar>
          <w:top w:w="45" w:type="dxa"/>
          <w:left w:w="45" w:type="dxa"/>
          <w:bottom w:w="45" w:type="dxa"/>
          <w:right w:w="45" w:type="dxa"/>
        </w:tblCellMar>
      </w:tblPr>
      <w:tblGrid>
        <w:gridCol w:w="3579"/>
        <w:gridCol w:w="4116"/>
      </w:tblGrid>
      <w:tr>
        <w:trPr/>
        <w:tc>
          <w:tcPr>
            <w:tcW w:w="3579"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1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79"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Витаминотерапия (Витамины А, Е )</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79"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79"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79"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79"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Седативные средства</w:t>
            </w:r>
          </w:p>
        </w:tc>
        <w:tc>
          <w:tcPr>
            <w:tcW w:w="411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Больным назначается прием препаратов общего воздействия – витаминов группы А, Е, микроэлементы. Витамин А назначается внутрь, 3 раза в день, в течении 1 месяца, Витамин Е (100 М.Е., 200 М.Е., 300 М.Е., 400 М.Е.), в течении 1 месяца. Кератопластики апплицируют на СОР на элементы поражения или в виде ротовых ванночек, полоскания по 1-2 мин., 2-3р. в день, 14 дней; витамин Е, оливковое масло в виде аппликации на марлевой салфетке, на элементы поражения, 2-3 р. в день, 14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назначают седативные препараты.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лейкедемой рекомендуется употреблять в пищу продукты, богатые витамином А, В, С и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7.2.12. Форма информированного добровольного согласия пациента при выполнении Протокола</w:t>
      </w:r>
      <w:r>
        <w:rPr>
          <w:rFonts w:ascii="ALSStory;Arial" w:hAnsi="ALSStory;Arial"/>
          <w:b w:val="false"/>
          <w:i w:val="false"/>
          <w:caps w:val="false"/>
          <w:smallCaps w:val="false"/>
          <w:color w:val="000000"/>
          <w:spacing w:val="0"/>
          <w:sz w:val="21"/>
        </w:rPr>
        <w:t> (приложение 8).</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7.2.13. Дополнительная информация для пациента и членов его семьи </w:t>
      </w:r>
      <w:r>
        <w:rPr>
          <w:rFonts w:ascii="ALSStory;Arial" w:hAnsi="ALSStory;Arial"/>
          <w:b w:val="false"/>
          <w:i w:val="false"/>
          <w:caps w:val="false"/>
          <w:smallCaps w:val="false"/>
          <w:color w:val="000000"/>
          <w:spacing w:val="0"/>
          <w:sz w:val="21"/>
        </w:rPr>
        <w:t>(приложение 9).</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лейкедемы,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«лейкедема слизистой оболочки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7.2.15. Возможные исходы и их характеристики</w:t>
      </w:r>
    </w:p>
    <w:tbl>
      <w:tblPr>
        <w:tblW w:w="9638" w:type="dxa"/>
        <w:jc w:val="left"/>
        <w:tblInd w:w="-7" w:type="dxa"/>
        <w:tblLayout w:type="fixed"/>
        <w:tblCellMar>
          <w:top w:w="45" w:type="dxa"/>
          <w:left w:w="45" w:type="dxa"/>
          <w:bottom w:w="45" w:type="dxa"/>
          <w:right w:w="45" w:type="dxa"/>
        </w:tblCellMar>
      </w:tblPr>
      <w:tblGrid>
        <w:gridCol w:w="1938"/>
        <w:gridCol w:w="1115"/>
        <w:gridCol w:w="2229"/>
        <w:gridCol w:w="1998"/>
        <w:gridCol w:w="2358"/>
      </w:tblGrid>
      <w:tr>
        <w:trPr/>
        <w:tc>
          <w:tcPr>
            <w:tcW w:w="1938"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11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w:t>
            </w:r>
          </w:p>
        </w:tc>
        <w:tc>
          <w:tcPr>
            <w:tcW w:w="222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199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35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93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11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35%</w:t>
            </w:r>
          </w:p>
        </w:tc>
        <w:tc>
          <w:tcPr>
            <w:tcW w:w="222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199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5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93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Выздоров-ление</w:t>
            </w:r>
          </w:p>
        </w:tc>
        <w:tc>
          <w:tcPr>
            <w:tcW w:w="111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35%</w:t>
            </w:r>
          </w:p>
        </w:tc>
        <w:tc>
          <w:tcPr>
            <w:tcW w:w="222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199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35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93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115"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25%</w:t>
            </w:r>
          </w:p>
        </w:tc>
        <w:tc>
          <w:tcPr>
            <w:tcW w:w="222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199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35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938"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нового заболе-вания, связанного с основным</w:t>
            </w:r>
          </w:p>
        </w:tc>
        <w:tc>
          <w:tcPr>
            <w:tcW w:w="1115"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0</w:t>
            </w:r>
          </w:p>
        </w:tc>
        <w:tc>
          <w:tcPr>
            <w:tcW w:w="2229"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1998"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358"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7.2.16.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лейкедема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w:t>
      </w:r>
      <w:r>
        <w:rPr>
          <w:rFonts w:ascii="ALSStory;Arial" w:hAnsi="ALSStory;Arial"/>
          <w:b w:val="false"/>
          <w:i w:val="false"/>
          <w:caps w:val="false"/>
          <w:smallCaps w:val="false"/>
          <w:color w:val="000000"/>
          <w:spacing w:val="0"/>
          <w:sz w:val="21"/>
        </w:rPr>
        <w:t>: атипичная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K13.23</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Имеется вредная привычка скусывать слизистую оболочку щек, губ.</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Основной морфологический элемент- чешуйка, бляшка.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w:t>
      </w:r>
      <w:r>
        <w:rPr>
          <w:rFonts w:ascii="ALSStory;Arial" w:hAnsi="ALSStory;Arial"/>
          <w:b w:val="false"/>
          <w:i w:val="false"/>
          <w:caps w:val="false"/>
          <w:smallCaps w:val="false"/>
          <w:color w:val="000000"/>
          <w:spacing w:val="0"/>
          <w:sz w:val="21"/>
        </w:rPr>
        <w:t> Локализация: по линии смыкания зубов, на слизистой оболочке губ и реже дна рта.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w:t>
      </w:r>
      <w:r>
        <w:rPr>
          <w:rFonts w:ascii="ALSStory;Arial" w:hAnsi="ALSStory;Arial"/>
          <w:b w:val="false"/>
          <w:i w:val="false"/>
          <w:caps w:val="false"/>
          <w:smallCaps w:val="false"/>
          <w:color w:val="000000"/>
          <w:spacing w:val="0"/>
          <w:sz w:val="21"/>
        </w:rPr>
        <w:t> Отсутствие выраженного шелушения.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w:t>
      </w:r>
      <w:r>
        <w:rPr>
          <w:rFonts w:ascii="ALSStory;Arial" w:hAnsi="ALSStory;Arial"/>
          <w:b w:val="false"/>
          <w:i w:val="false"/>
          <w:caps w:val="false"/>
          <w:smallCaps w:val="false"/>
          <w:color w:val="000000"/>
          <w:spacing w:val="0"/>
          <w:sz w:val="21"/>
        </w:rPr>
        <w:t> Клинически проявляется набуханием СОР, шелушением, мацерацией. Очаги поражения мягкие, губчатые, мутные, рыхлые, не имеют четких границ. Характерно помутнение слизистой оболочки щек, губ; белая опалесцирующая полоска или бляшка на уровне смыкания зубов. Эпителий имеет бахромистый вид, как бы «изъеденный молью»,</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6. </w:t>
      </w:r>
      <w:r>
        <w:rPr>
          <w:rFonts w:ascii="ALSStory;Arial" w:hAnsi="ALSStory;Arial"/>
          <w:b w:val="false"/>
          <w:i w:val="false"/>
          <w:caps w:val="false"/>
          <w:smallCaps w:val="false"/>
          <w:color w:val="000000"/>
          <w:spacing w:val="0"/>
          <w:sz w:val="21"/>
        </w:rPr>
        <w:t>Поверхностный слой эпителия соскабливается шпателем при усилии без признаков воспаления.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w:t>
      </w:r>
      <w:r>
        <w:rPr>
          <w:rFonts w:ascii="ALSStory;Arial" w:hAnsi="ALSStory;Arial"/>
          <w:b w:val="false"/>
          <w:i w:val="false"/>
          <w:caps w:val="false"/>
          <w:smallCaps w:val="false"/>
          <w:color w:val="000000"/>
          <w:spacing w:val="0"/>
          <w:sz w:val="21"/>
        </w:rPr>
        <w:t> Гистологически - незначительное утолщение эпителия, слабо выраженное набухание клеток шиповатого слоя без признаков воспаления.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7.3.3. Требования к диагностике амбулаторно-поликлинической</w:t>
      </w:r>
    </w:p>
    <w:tbl>
      <w:tblPr>
        <w:tblW w:w="9638" w:type="dxa"/>
        <w:jc w:val="left"/>
        <w:tblInd w:w="-7" w:type="dxa"/>
        <w:tblLayout w:type="fixed"/>
        <w:tblCellMar>
          <w:top w:w="45" w:type="dxa"/>
          <w:left w:w="45" w:type="dxa"/>
          <w:bottom w:w="45" w:type="dxa"/>
          <w:right w:w="45" w:type="dxa"/>
        </w:tblCellMar>
      </w:tblPr>
      <w:tblGrid>
        <w:gridCol w:w="1316"/>
        <w:gridCol w:w="6300"/>
        <w:gridCol w:w="2022"/>
      </w:tblGrid>
      <w:tr>
        <w:trPr/>
        <w:tc>
          <w:tcPr>
            <w:tcW w:w="1316"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Код</w:t>
            </w:r>
          </w:p>
        </w:tc>
        <w:tc>
          <w:tcPr>
            <w:tcW w:w="6300"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Название</w:t>
            </w:r>
          </w:p>
        </w:tc>
        <w:tc>
          <w:tcPr>
            <w:tcW w:w="2022"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Кратность выполнения</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Сбор анамнеза и жалоб при патологии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Визуальное исследование при патологии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органов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А01.07.005</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Внешний осмотр челюстно-лицевой области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А01.07.006</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Пальпация челюстно-лицевой области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А01.07.007</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открывания рта и ограничение подвижности нижней челюсти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Осмотр рта с помощью дополнительных инструментов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кариозных полостей с использованием стоматологического зонда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Исследование пародонтальных карманов с помощью пародонтологического зонда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А02.07.006</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прикуса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А02.07.008</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степени патологической подвижности зубов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A03.07.003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Диагностика состояния зубочелюстной системы с помощью методов и средств лучевой визуализации</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A08.07.002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Гистологическое исследование препарата тканей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A11.07.001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Биопсия слизистой оболочки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А12.07.003</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индексов гигиены рта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А12.07.004</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Определение пародонтальных индексов</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B01.027.001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врача-онколога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В01.047.01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врача-терапевта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 терапевта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B01.066.001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врача-стоматолога-ортопеда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B04.004.002</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гастроэнтеролога</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B01.033.001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врача-профпатолога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B01.008.001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врача-дерматовенеролога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B01.058.001</w:t>
            </w:r>
          </w:p>
        </w:tc>
        <w:tc>
          <w:tcPr>
            <w:tcW w:w="630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врача-эндокринолога первичный</w:t>
            </w:r>
          </w:p>
        </w:tc>
        <w:tc>
          <w:tcPr>
            <w:tcW w:w="202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31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B04.023.002</w:t>
            </w:r>
          </w:p>
        </w:tc>
        <w:tc>
          <w:tcPr>
            <w:tcW w:w="630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прием (осмотр, консультация) врача- невролога</w:t>
            </w:r>
          </w:p>
        </w:tc>
        <w:tc>
          <w:tcPr>
            <w:tcW w:w="202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пальпация лимфатических узлов головы и шеи бимануально и билатерально, сравнивая правую и левую половины лица и шеи. Исследование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обследования СОР, приступают к определению прикуса, выявлению аномалий положения отдельных зубов, а также зубных рядов в целом, наличие трем, диастем.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Обследованию подлежат все зубы. Начинают осмотр с правых верхних моляров и заканчивают правыми нижними молярами.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с заполнением пародонтограммы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Silness-Loe). Индексы гигиены рта определяют до лечения и после обучения гигиене рта с целью контроля.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гистологическое исследование пораженной области и биопсию.</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7.3.5. Требования к лечению амбулаторно-поликлиническому</w:t>
      </w:r>
    </w:p>
    <w:tbl>
      <w:tblPr>
        <w:tblW w:w="9638" w:type="dxa"/>
        <w:jc w:val="left"/>
        <w:tblInd w:w="-7" w:type="dxa"/>
        <w:tblLayout w:type="fixed"/>
        <w:tblCellMar>
          <w:top w:w="45" w:type="dxa"/>
          <w:left w:w="45" w:type="dxa"/>
          <w:bottom w:w="45" w:type="dxa"/>
          <w:right w:w="45" w:type="dxa"/>
        </w:tblCellMar>
      </w:tblPr>
      <w:tblGrid>
        <w:gridCol w:w="1725"/>
        <w:gridCol w:w="6110"/>
        <w:gridCol w:w="1803"/>
      </w:tblGrid>
      <w:tr>
        <w:trPr/>
        <w:tc>
          <w:tcPr>
            <w:tcW w:w="172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B01.003.004.002</w:t>
            </w:r>
          </w:p>
        </w:tc>
        <w:tc>
          <w:tcPr>
            <w:tcW w:w="6110"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Проводниковая анестезия</w:t>
            </w:r>
          </w:p>
        </w:tc>
        <w:tc>
          <w:tcPr>
            <w:tcW w:w="1803"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B01.003.004.004</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Аппликационная анестезия</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B01.003.004.005</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Инфильтрационная анестезия</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A16.07.022</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Удаление наддесневых и поддесневых зубных отложений (ручными инструментами)</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А13.30.007</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Обучение гигиене рта</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А16.07.025</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Избирательное пришлифовывание твердых тканей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А16.07.051</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Профессиональная гигиена рта и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А16.07.053</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Снятие несъемной ортопедической конструкции</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A16.07.004</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зуба коронкой</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А22.07.002</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Ультразвуковое удаление наддесневых зубных отложений</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B01.065.002</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врача-стоматолога-терапевта повторный</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А25.07.001</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лекарственной терапии при заболеваниях рта и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Согласно алгоритму</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А25.07.002</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диетической терапии при заболеваниях рта и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2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А25.07.003</w:t>
            </w:r>
          </w:p>
        </w:tc>
        <w:tc>
          <w:tcPr>
            <w:tcW w:w="611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Назначение лечебно-оздоровительного режима при заболеваниях рта и зубов</w:t>
            </w:r>
          </w:p>
        </w:tc>
        <w:tc>
          <w:tcPr>
            <w:tcW w:w="1803"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172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B01.067.002</w:t>
            </w:r>
          </w:p>
        </w:tc>
        <w:tc>
          <w:tcPr>
            <w:tcW w:w="611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Прием (осмотр, консультация) врача-стоматолога-хирурга повторный</w:t>
            </w:r>
          </w:p>
        </w:tc>
        <w:tc>
          <w:tcPr>
            <w:tcW w:w="1803"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7), удаление зубного камня, пришлифование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7.3.7. Требования к лекарственной помощи амбулаторно-поликлинической</w:t>
      </w:r>
    </w:p>
    <w:tbl>
      <w:tblPr>
        <w:tblW w:w="7695" w:type="dxa"/>
        <w:jc w:val="left"/>
        <w:tblInd w:w="-7" w:type="dxa"/>
        <w:tblLayout w:type="fixed"/>
        <w:tblCellMar>
          <w:top w:w="45" w:type="dxa"/>
          <w:left w:w="45" w:type="dxa"/>
          <w:bottom w:w="45" w:type="dxa"/>
          <w:right w:w="45" w:type="dxa"/>
        </w:tblCellMar>
      </w:tblPr>
      <w:tblGrid>
        <w:gridCol w:w="3579"/>
        <w:gridCol w:w="4116"/>
      </w:tblGrid>
      <w:tr>
        <w:trPr/>
        <w:tc>
          <w:tcPr>
            <w:tcW w:w="3579"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группы</w:t>
            </w:r>
          </w:p>
        </w:tc>
        <w:tc>
          <w:tcPr>
            <w:tcW w:w="411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Кратность (продолжительность лечения)</w:t>
            </w:r>
          </w:p>
        </w:tc>
      </w:tr>
      <w:tr>
        <w:trPr/>
        <w:tc>
          <w:tcPr>
            <w:tcW w:w="3579"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Витаминотерапия (Витамины А, Е )</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79"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Гипосенсибилизирующая терапия</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r>
        <w:trPr/>
        <w:tc>
          <w:tcPr>
            <w:tcW w:w="3579"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Кератопластические средства</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79"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Антисептические средства</w:t>
            </w:r>
          </w:p>
        </w:tc>
        <w:tc>
          <w:tcPr>
            <w:tcW w:w="411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1</w:t>
            </w:r>
          </w:p>
        </w:tc>
      </w:tr>
      <w:tr>
        <w:trPr/>
        <w:tc>
          <w:tcPr>
            <w:tcW w:w="3579"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Седативные средства</w:t>
            </w:r>
          </w:p>
        </w:tc>
        <w:tc>
          <w:tcPr>
            <w:tcW w:w="411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Больным назначается прием препаратов общего воздействия – витаминов группы А, Е, микроэлементы. Витамин А назначается внутрь, 3 раза в день, в течении 1 месяца, Витамин Е (100 М.Е., 200 М.Е., 300 М.Е., 400 М.Е.), в течении 1 месяца. Кератопластики апплицируют на СОР на элементы поражения или в виде ротовых ванночек, полоскания по 1-2 мин., 2-3р. в день, 14 дней; витамин Е, оливковое масло в виде аппликации на марлевой салфетке, на элементы поражения, 2-3 р. в день, 14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назначают седативные препараты.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7.3.9. Требования к режиму труда, отдыха, лечения и реабилитации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лейкедемой рекомендуется употреблять в пищу продукты, богатые витамином А, В, С и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8).</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7.3.13. Дополнительная информация для пациента и членов его семьи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(приложение 9).</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лейкедемы,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«лейкедема»;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7.3.15. Возможные исходы и их характеристики</w:t>
      </w:r>
    </w:p>
    <w:tbl>
      <w:tblPr>
        <w:tblW w:w="9638" w:type="dxa"/>
        <w:jc w:val="left"/>
        <w:tblInd w:w="-7" w:type="dxa"/>
        <w:tblLayout w:type="fixed"/>
        <w:tblCellMar>
          <w:top w:w="45" w:type="dxa"/>
          <w:left w:w="45" w:type="dxa"/>
          <w:bottom w:w="45" w:type="dxa"/>
          <w:right w:w="45" w:type="dxa"/>
        </w:tblCellMar>
      </w:tblPr>
      <w:tblGrid>
        <w:gridCol w:w="1838"/>
        <w:gridCol w:w="1060"/>
        <w:gridCol w:w="2317"/>
        <w:gridCol w:w="2019"/>
        <w:gridCol w:w="2404"/>
      </w:tblGrid>
      <w:tr>
        <w:trPr/>
        <w:tc>
          <w:tcPr>
            <w:tcW w:w="1838"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Наименование исхода</w:t>
            </w:r>
          </w:p>
        </w:tc>
        <w:tc>
          <w:tcPr>
            <w:tcW w:w="1060"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Частота развития, %</w:t>
            </w:r>
          </w:p>
        </w:tc>
        <w:tc>
          <w:tcPr>
            <w:tcW w:w="2317"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Критерии и Признаки</w:t>
            </w:r>
          </w:p>
        </w:tc>
        <w:tc>
          <w:tcPr>
            <w:tcW w:w="201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Ориентировочное время достижения исхода</w:t>
            </w:r>
          </w:p>
        </w:tc>
        <w:tc>
          <w:tcPr>
            <w:tcW w:w="240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Преемственность и этапность оказания медицинской помощи</w:t>
            </w:r>
          </w:p>
        </w:tc>
      </w:tr>
      <w:tr>
        <w:trPr/>
        <w:tc>
          <w:tcPr>
            <w:tcW w:w="183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Стабилизация</w:t>
            </w:r>
          </w:p>
        </w:tc>
        <w:tc>
          <w:tcPr>
            <w:tcW w:w="106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35%</w:t>
            </w:r>
          </w:p>
        </w:tc>
        <w:tc>
          <w:tcPr>
            <w:tcW w:w="231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Отсутствие отрицательной динамики</w:t>
            </w:r>
          </w:p>
        </w:tc>
        <w:tc>
          <w:tcPr>
            <w:tcW w:w="201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40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Профилактиче-ский осмотр не реже 2 раз в год</w:t>
            </w:r>
          </w:p>
        </w:tc>
      </w:tr>
      <w:tr>
        <w:trPr/>
        <w:tc>
          <w:tcPr>
            <w:tcW w:w="183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Выздоровление</w:t>
            </w:r>
          </w:p>
        </w:tc>
        <w:tc>
          <w:tcPr>
            <w:tcW w:w="106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35%</w:t>
            </w:r>
          </w:p>
        </w:tc>
        <w:tc>
          <w:tcPr>
            <w:tcW w:w="231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Восстановление внешнего вида СОР</w:t>
            </w:r>
          </w:p>
        </w:tc>
        <w:tc>
          <w:tcPr>
            <w:tcW w:w="201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После лечения</w:t>
            </w:r>
          </w:p>
        </w:tc>
        <w:tc>
          <w:tcPr>
            <w:tcW w:w="240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Динамическое наблюдение</w:t>
            </w:r>
          </w:p>
        </w:tc>
      </w:tr>
      <w:tr>
        <w:trPr/>
        <w:tc>
          <w:tcPr>
            <w:tcW w:w="183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Развитие ятрогенных осложнений</w:t>
            </w:r>
          </w:p>
        </w:tc>
        <w:tc>
          <w:tcPr>
            <w:tcW w:w="1060"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25%</w:t>
            </w:r>
          </w:p>
        </w:tc>
        <w:tc>
          <w:tcPr>
            <w:tcW w:w="231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Появление новых поражений или осложнений, обусловлен-ных проводимой терапией (например, аллергические реакции)</w:t>
            </w:r>
          </w:p>
        </w:tc>
        <w:tc>
          <w:tcPr>
            <w:tcW w:w="201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На любом этапе</w:t>
            </w:r>
          </w:p>
        </w:tc>
        <w:tc>
          <w:tcPr>
            <w:tcW w:w="240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Оказание медицинской помощи по протоколу соответствующего заболевания</w:t>
            </w:r>
          </w:p>
        </w:tc>
      </w:tr>
      <w:tr>
        <w:trPr/>
        <w:tc>
          <w:tcPr>
            <w:tcW w:w="1838" w:type="dxa"/>
            <w:tcBorders>
              <w:left w:val="single" w:sz="6" w:space="0" w:color="808080"/>
              <w:bottom w:val="single" w:sz="6" w:space="0" w:color="808080"/>
              <w:right w:val="single" w:sz="6" w:space="0" w:color="808080"/>
            </w:tcBorders>
            <w:vAlign w:val="center"/>
          </w:tcPr>
          <w:p>
            <w:pPr>
              <w:pStyle w:val="Style18"/>
              <w:bidi w:val="0"/>
              <w:spacing w:before="0" w:after="283"/>
              <w:jc w:val="left"/>
              <w:rPr>
                <w:rFonts w:ascii="ALSStory;Arial" w:hAnsi="ALSStory;Arial"/>
                <w:color w:val="000000"/>
                <w:sz w:val="21"/>
              </w:rPr>
            </w:pPr>
            <w:r>
              <w:rPr>
                <w:rFonts w:ascii="ALSStory;Arial" w:hAnsi="ALSStory;Arial"/>
                <w:color w:val="000000"/>
                <w:sz w:val="21"/>
              </w:rPr>
              <w:t>Развитие</w:t>
            </w:r>
          </w:p>
          <w:p>
            <w:pPr>
              <w:pStyle w:val="Style18"/>
              <w:pBdr/>
              <w:bidi w:val="0"/>
              <w:spacing w:lineRule="atLeast" w:line="240" w:before="0" w:after="120"/>
              <w:ind w:left="0" w:right="0" w:hanging="0"/>
              <w:jc w:val="left"/>
              <w:rPr>
                <w:rFonts w:ascii="ALSStory;Arial" w:hAnsi="ALSStory;Arial" w:eastAsia="ALSStory;Arial" w:cs="ALSStory;Arial"/>
                <w:sz w:val="21"/>
                <w:szCs w:val="21"/>
              </w:rPr>
            </w:pPr>
            <w:r>
              <w:rPr>
                <w:rFonts w:ascii="ALSStory;Arial" w:hAnsi="ALSStory;Arial"/>
                <w:color w:val="000000"/>
                <w:sz w:val="21"/>
              </w:rPr>
              <w:t>нового заболевания, связанного с основным</w:t>
            </w:r>
          </w:p>
        </w:tc>
        <w:tc>
          <w:tcPr>
            <w:tcW w:w="1060"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color w:val="000000"/>
                <w:sz w:val="21"/>
              </w:rPr>
            </w:pPr>
            <w:r>
              <w:rPr>
                <w:rFonts w:ascii="ALSStory;Arial" w:hAnsi="ALSStory;Arial"/>
                <w:color w:val="000000"/>
                <w:sz w:val="21"/>
              </w:rPr>
              <w:t>0</w:t>
            </w:r>
          </w:p>
        </w:tc>
        <w:tc>
          <w:tcPr>
            <w:tcW w:w="2317"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019"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404"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7.3.16.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VIII. ГРАФИЧЕСКОЕ, СХЕМАТИЧЕСКОЕ И ТАБЛИЧНОЕ ПРЕДСТАВЛЕНИЕ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 требуется.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IX. МОНИТОРИРОВАНИЕ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и методология мониторинга и оценки эффективности выполнения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Мониторирование проводится на всей территории Российской Федерации.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Перечень медицинских учреждений, в которых проводится мониторирование данного документа, определяется ежегодно учреждением,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ответственным за мониторирование. Медицинская организация информируется о включении в перечень по мониторированию протокола письменно.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Мониторирование включает в себя: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-сбор информации: о ведении пациентов с лейкедемой в лечебно-профилактических учреждениях всех уровней;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-анализ полученных данных;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-составление отчета о результатах проведенного анализа;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-представление отчета группе разработчиков Протокола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Исходными данными при мониторировании являются: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медицинская документация - медицинская карта стоматологического больного (форма 043/у);</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тарифы на медицинские услуги;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тарифы на стоматологические материалы и лекарственные средства.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при мониторировании Протокола могут быть использованы иные документы.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лечебно-профилактических учреждениях, определенных перечнем по мониторированию, раз в полгода на основании медицинской документации составляется карта пациента о лечении пациентов с лейкедемой, соответствующих моделям пациента в данном протоколе.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анализируемые в процессе мониторинга показатели входят: критерии включения и исключения из Протокола, перечни медицинских услуг обязательного и дополнительного ассортимента, перечни лекарственных средств обязательного и дополнительного ассортимента, исходы заболевания, стоимость выполнения медицинской помощи по Протоколу и др.</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ПРИНЦИПЫ РАНДОМИЗАЦИИ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данном Протоколе рандомизация (лечебных учреждений, пациентов и т. д.) не предусмотрена.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ОЦЕНКИ И ДОКУМЕНТИРОВАНИЯ ПОБОЧНЫХ ЭФФЕКТОВ И РАЗВИТИЯ ОСЛОЖНЕНИЙ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Информация о побочных эффектах и осложнениях, возникших в процессе диагностики и лечения больных, регистрируется в карте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ИСКЛЮЧЕНИЯ ПАЦИЕНТА ИЗ МОНИТОРИРОВАНИЯ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 считается включенным в мониторирование при заполнении на него Карты пациента. Исключение из мониторирования проводится в случае невозможности продолжения заполнения Карты (например, неявка на врачебный прием). В этом случае Карта направляется в учреждение, ответственное за мониторирование, с отметкой о причине исключения пациента из Протокола.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ПРОМЕЖУТОЧНАЯ ОЦЕНКА И ВНЕСЕНИЕ ИЗМЕНЕНИЙ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Оценка выполнения Протокола проводится один раз в год по результатам анализа сведений, полученных при мониторировании.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Внесение изменений в Протокол проводится в случае получения информации: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о наличии в Протоколе требований, наносящих урон здоровью пациентов,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при получении убедительных данных о необходимости изменений требований Протокола обязательного уровня.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Решение об изменениях принимается группой разработчиков. Введение изменений требований Протокола в действие осуществляется Министерством здравоохранения Российской Федерации в установленном порядке.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ПАРАМЕТРЫ ОЦЕНКИ КАЧЕСТВА ЖИЗНИ ПРИ ВЫПОЛНЕНИИ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оценки качества жизни пациента с лейкедемой, соответствующей моделям протокола, используют аналоговую шкалу.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ОЦЕНКА СТОИМОСТИ ВЫПОЛНЕНИЯ ПРОТОКОЛА И ЦЕНЫ КАЧЕСТВА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Клинико-экономический анализ проводится согласно требованиям нормативных документов.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СРАВНЕНИЕ РЕЗУЛЬТАТОВ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мониторировании Протокола ежегодно проводится сравнение результатов выполнения его требований, статистических данных, показателей деятельности лечебно-профилактических учреждений.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ФОРМИРОВАНИЯ ОТЧЕТА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ежегодный отчет о результатах мониторирования включаются количественные результаты, полученные при разработке медицинских карт, и их качественный анализ, выводы, предложения по актуализации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Отчет представляется в Министерство здравоохранения Российской Федерации учреждением, ответственным за мониторирование данного Протокола. Результаты отчета могут быть опубликованы в открытой печати.</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1</w:t>
      </w:r>
    </w:p>
    <w:p>
      <w:pPr>
        <w:pStyle w:val="2"/>
        <w:widowControl/>
        <w:pBdr/>
        <w:bidi w:val="0"/>
        <w:spacing w:before="0" w:after="150"/>
        <w:ind w:left="0" w:right="0" w:hanging="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Перечень стоматологических материалов, инструментов и оборудования, необходимых для работы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Обязательный ассортимент: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Автоклав (стерилизатор паровой),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Аквадистиллятор (медицинский),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Автоклав для наконечников (стерилизатор паровой настольный)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Аппарат воздушно-абразивный для снятия зубных отложений;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5. Аппарат для снятия зубных отложений ультразвуковой (скейлер);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Аспиратор (отсасыватель) хирургический,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Биксы (коробка стерилизационная для хранения стерильных инструментов и материала)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Инструменты стоматологические (мелкие):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боры,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полиры,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финиры;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9. Инкубатор для проведения микробиологических тестов (CO</w:t>
      </w:r>
      <w:r>
        <w:rPr>
          <w:rFonts w:ascii="ALSStory;Arial" w:hAnsi="ALSStory;Arial"/>
          <w:b w:val="false"/>
          <w:i w:val="false"/>
          <w:caps w:val="false"/>
          <w:smallCaps w:val="false"/>
          <w:color w:val="000000"/>
          <w:spacing w:val="0"/>
          <w:position w:val="-2"/>
          <w:sz w:val="17"/>
          <w:sz w:val="21"/>
        </w:rPr>
        <w:t>2</w:t>
      </w:r>
      <w:r>
        <w:rPr>
          <w:rFonts w:ascii="ALSStory;Arial" w:hAnsi="ALSStory;Arial"/>
          <w:b w:val="false"/>
          <w:i w:val="false"/>
          <w:caps w:val="false"/>
          <w:smallCaps w:val="false"/>
          <w:color w:val="000000"/>
          <w:spacing w:val="0"/>
          <w:sz w:val="21"/>
        </w:rPr>
        <w:t> инкубатор для выращивания культур клеток и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10. Изделия одноразового применения: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шприцы и иглы для инъекций,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маски,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перчатки смотровые, диагностические, хирургические,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бумажные нагрудные салфетки для пациентов,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полотенца для рук в контейнере,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салфетки гигиенические,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слюноотсосы,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стаканы пластиковые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11. Инъектор стоматологический, для карпульной анестезии;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12. Камеры для хранения стерильных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13. Компрессор стоматологический (безмасляный);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14. Кресло стоматологическое;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15. Крючки хирургические, зубчатые разных размеров;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16. Лампа (облучатель) бактерицидная для помещений;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 Машина упаковочная (аппарат для предстерилизационной упаковки инструментария);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18. Место рабочее (комплект оборудования) для врача-стоматолога: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19. Набор аппаратов, инструментов, медикаментов, методических материалов и документов для оказания экстренной медицинской помощи при состояниях, угрожающих жизни (укладка-аптечка для оказания экстренной помощи при общесоматических осложнениях в условиях стоматологических кабинетов);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20. Набор (инструменты, щетки, диски, пасты) для шлифования и полирования пломб и зубных протезов;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21. Набор инструментов для осмотра рта (базовый):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лоток медицинский стоматологический,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зеркало стоматологическое,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зонд стоматологический угловой,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пинцет зубоврачебный,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экскаваторы зубные,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гладилка широкая двухсторонняя,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гладилка-штопфер,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шпатель зубоврачебный;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22. Набор инструментов в ассортименте для снятия зубных отложений: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экскаваторы,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крючки для снятия зубного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23. Набор инструментов для трахеотомии;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24. Набор инструментов, игл и шовного материала не менее 2 видов;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25. Набор медикаментов для индивидуальной профилактики парентеральных инфекций (аптечка "анти-СПИД")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26. Набор реактивов для контроля (индикаторы) дезинфекции и стерилизации;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27. Наборы микробиологические (реагенты, реактивы для бактериологических исследований) для проведения тестов на кислотообразующую микрофлору при использовании инкубатора для проведения микробиологических тестов;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28. Наконечник стоматологический механический прямой;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29. Наконечник стоматологический механический угловой;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30. Наконечник стоматологический турбинный;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31. Ножницы в ассортименте не менее 3 на рабочее место врача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32. Отсасыватель пыли (стоматологический пылесос)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33. Отсасыватель слюны (стоматологический слюноотсос)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34. Очиститель ультразвуковой (устройство ультразвуковой очистки и дезинфекции инструментов и изделий);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35. Очки защитные;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36. Пинцеты;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37. Прибор и средства для очистки и смазки наконечников;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38. Прибор (установка) для утилизации шприцев;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39. Скальпели (держатели) и одноразовые лезвия в ассортименте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40. Средства и емкости-контейнеры для дезинфекции инструментов в соответствии с СанПиН</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41. Стерилизатор стоматологический для мелкого инструментария;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42. Стерилизатор суховоздушный;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43. Щитки защитные (от механического повреждения глаз)</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44. Наборы диагностические для проведения тестов на выявление новообразований (скрининг) и контроля за лечением новообразований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2</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Алгоритм визуального осмотра СОР, рекомендуемый ВОЗ(1997 год).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Осмотр СОР начинают с кожных покровов околоротовой области, красной каймы губ при открытом и закрытом рте, обращая внимание на цвет, блеск, консистенцию. При осмотре слизистой оболочки губ, переходной складки учитывают цвет, влажность, глубину преддверия рта, характер прикрепления уздечек, наличие тяжей; на слизистой оболочки губ, особенно нижней, в норме иногда обнаруживаются небольшие возвышения за счет наличия малых слюнных желез, что не является патологией.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осматривают слизистую оболочку щек (правой, затем левой) от угла рта до небной миндалины, замечая наличие или отсутствие пигментаций, изменений ее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линии смыкания зубов, чаще ближе к углу рта располагаются гранулы Фордайса. Эти бледно-желтые узелки, диаметром 1-2 мм не возвышаются над СОР, являются вариантом нормы. Нужно также помнить, что на уровне 17 и 27 зубов имеются сосочки, на которых открывается выводной проток околоушной слюнной железы, иногда принимаемой за отклонение.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Обращают внимание на десны и альвеолярный край. Сначала осматривают щечную и губную область десны, начиная с правого верхнего заднего участка, и затем перемещаются по дуге влево. Опускаются на нижнюю челюсть слева сзади и перемещаются вправо по дуге. Затем обследуют язычную и нёбную области дёсен: справа налево на верхней челюсти и слева направо вдоль нижней челюсти. На десне могут встречаться изменения цвета, опухоли и отечность различной формы и консистенции. По переходной складке исследуют свищевые ходы, которые возникают чаще всего в результате хронического воспалительного процесса в верхушечном периодонте.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осматривают язык, оценивая все виды сосочков языка, характер прикрепления уздечки. Регистрируют изменение цвета, сосудистого рисунка, рельефа дна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Небо осматривают при широко открытом рте и откинутой назад голове. Широким шпателем осторожно прижимают корень языка. С помощью зубоврачебного зеркала осматривают твердое и затем мягкое небо.</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3</w:t>
      </w:r>
    </w:p>
    <w:p>
      <w:pPr>
        <w:pStyle w:val="2"/>
        <w:widowControl/>
        <w:pBdr/>
        <w:bidi w:val="0"/>
        <w:spacing w:before="0" w:after="150"/>
        <w:ind w:left="0" w:right="0" w:hanging="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Элементы поражения кожи и слизистой оболочки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диагностике предраковых заболеваний определяющее значение имеет оценка морфологических элементов поражения кожи и слизистой оболочки, которые проявляются изменениями окраски и нарушениями рельефа поверхности.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Пятно (macula)</w:t>
      </w:r>
      <w:r>
        <w:rPr>
          <w:rFonts w:ascii="ALSStory;Arial" w:hAnsi="ALSStory;Arial"/>
          <w:b w:val="false"/>
          <w:i w:val="false"/>
          <w:caps w:val="false"/>
          <w:smallCaps w:val="false"/>
          <w:color w:val="000000"/>
          <w:spacing w:val="0"/>
          <w:sz w:val="21"/>
        </w:rPr>
        <w:t> – наиболее распространенный элемент поражения, связанный с изменением окраски. Различают пятна воспалительной (до 1,5 см в диаметре – розеола, большего диаметра – эритема) и не воспалительной природы (пигментное пятно).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Пигментные пятна, в свою очередь, бывают врожденные – невусы, и приобретенные – связанные с введением красителей под эпителиальный слой, возникшие при приеме препаратов висмута, а также вследствие поступления в организм свинца.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Узелок (nodus, papula) – </w:t>
      </w:r>
      <w:r>
        <w:rPr>
          <w:rFonts w:ascii="ALSStory;Arial" w:hAnsi="ALSStory;Arial"/>
          <w:b w:val="false"/>
          <w:i w:val="false"/>
          <w:caps w:val="false"/>
          <w:smallCaps w:val="false"/>
          <w:color w:val="000000"/>
          <w:spacing w:val="0"/>
          <w:sz w:val="21"/>
        </w:rPr>
        <w:t>бесполостной элемент, возвышающийся над уровнем неизмененной слизистой или кожи, белесоватого или перламутрового оттенка (на слизистой), синевато-коричневый (на коже), размером 0,1-0,5 мм. Слияние папул приводит к образованию</w:t>
      </w:r>
      <w:r>
        <w:rPr>
          <w:rStyle w:val="Style11"/>
          <w:rFonts w:ascii="ALSStory;Arial" w:hAnsi="ALSStory;Arial"/>
          <w:b w:val="false"/>
          <w:i w:val="false"/>
          <w:caps w:val="false"/>
          <w:smallCaps w:val="false"/>
          <w:color w:val="000000"/>
          <w:spacing w:val="0"/>
          <w:sz w:val="21"/>
        </w:rPr>
        <w:t> бляшки </w:t>
      </w:r>
      <w:r>
        <w:rPr>
          <w:rFonts w:ascii="ALSStory;Arial" w:hAnsi="ALSStory;Arial"/>
          <w:b w:val="false"/>
          <w:i w:val="false"/>
          <w:caps w:val="false"/>
          <w:smallCaps w:val="false"/>
          <w:color w:val="000000"/>
          <w:spacing w:val="0"/>
          <w:sz w:val="21"/>
        </w:rPr>
        <w:t>(размер более 0,5 мм).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Узел (nodus)</w:t>
      </w:r>
      <w:r>
        <w:rPr>
          <w:rFonts w:ascii="ALSStory;Arial" w:hAnsi="ALSStory;Arial"/>
          <w:b w:val="false"/>
          <w:i w:val="false"/>
          <w:caps w:val="false"/>
          <w:smallCaps w:val="false"/>
          <w:color w:val="000000"/>
          <w:spacing w:val="0"/>
          <w:sz w:val="21"/>
        </w:rPr>
        <w:t> – плотное инфильтративное образование значительной величины (с орех), развивающееся в коже и слизистой оболочке. Определяется в виде возвышения кожи синюшно-коричневого цвета и гиперемированной слизистой оболочки. Завершается размягчением и изъязвлением. В некоторых случаях может быть обратное развитие без образования рубца.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Бугорок (tuberculum)</w:t>
      </w:r>
      <w:r>
        <w:rPr>
          <w:rFonts w:ascii="ALSStory;Arial" w:hAnsi="ALSStory;Arial"/>
          <w:b w:val="false"/>
          <w:i w:val="false"/>
          <w:caps w:val="false"/>
          <w:smallCaps w:val="false"/>
          <w:color w:val="000000"/>
          <w:spacing w:val="0"/>
          <w:sz w:val="21"/>
        </w:rPr>
        <w:t> – бесполостное инфильтративное образование, размером 0,2 – 5,0 мм, локализующееся в коже или захватывающее все слои слизистой оболочки и имеющее склонность к распаду с образованием язвы и последующим рубцеванием.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Язва (ulcus) </w:t>
      </w:r>
      <w:r>
        <w:rPr>
          <w:rFonts w:ascii="ALSStory;Arial" w:hAnsi="ALSStory;Arial"/>
          <w:b w:val="false"/>
          <w:i w:val="false"/>
          <w:caps w:val="false"/>
          <w:smallCaps w:val="false"/>
          <w:color w:val="000000"/>
          <w:spacing w:val="0"/>
          <w:sz w:val="21"/>
        </w:rPr>
        <w:t>– дефект кожи или слизистой оболочки и подлежащих тканей. Заживает с образованием рубца. Дно и края язвы характеризуются различными особенностями, что имеет определенное дифференциально-диагностическое значение в разграничении неспецифических и специфических поражений и злокачественных опухолей.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Трещина (rhagades) </w:t>
      </w:r>
      <w:r>
        <w:rPr>
          <w:rFonts w:ascii="ALSStory;Arial" w:hAnsi="ALSStory;Arial"/>
          <w:b w:val="false"/>
          <w:i w:val="false"/>
          <w:caps w:val="false"/>
          <w:smallCaps w:val="false"/>
          <w:color w:val="000000"/>
          <w:spacing w:val="0"/>
          <w:sz w:val="21"/>
        </w:rPr>
        <w:t>– линейный дефект, возникающий при потере тканями эластичности на фоне острого или хронического воспалительного процесса. Различают трещины поверхностные (повреждение только эпителиального слоя) и глубокие (повреждены все слои слизистой и подлежащие ткани).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Чешуйка (squama) </w:t>
      </w:r>
      <w:r>
        <w:rPr>
          <w:rFonts w:ascii="ALSStory;Arial" w:hAnsi="ALSStory;Arial"/>
          <w:b w:val="false"/>
          <w:i w:val="false"/>
          <w:caps w:val="false"/>
          <w:smallCaps w:val="false"/>
          <w:color w:val="000000"/>
          <w:spacing w:val="0"/>
          <w:sz w:val="21"/>
        </w:rPr>
        <w:t>– отделяющийся конгломерат пластов ороговевших клеток. Цвет чешуек на коже белый, серый, буроватый, на красной кайме губ – светло-серый.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Корка (crusta)</w:t>
      </w:r>
      <w:r>
        <w:rPr>
          <w:rFonts w:ascii="ALSStory;Arial" w:hAnsi="ALSStory;Arial"/>
          <w:b w:val="false"/>
          <w:i w:val="false"/>
          <w:caps w:val="false"/>
          <w:smallCaps w:val="false"/>
          <w:color w:val="000000"/>
          <w:spacing w:val="0"/>
          <w:sz w:val="21"/>
        </w:rPr>
        <w:t> – засохшее отделяемое язв, эрозий. Особенно часто образуется при поражении красной каймы губ.</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Эрозия (erozia) </w:t>
      </w:r>
      <w:r>
        <w:rPr>
          <w:rFonts w:ascii="ALSStory;Arial" w:hAnsi="ALSStory;Arial"/>
          <w:b w:val="false"/>
          <w:i w:val="false"/>
          <w:caps w:val="false"/>
          <w:smallCaps w:val="false"/>
          <w:color w:val="000000"/>
          <w:spacing w:val="0"/>
          <w:sz w:val="21"/>
        </w:rPr>
        <w:t>– образуется после отпадения корки. Дно эрозии – эпителий или сосочковый слой соединительнотканной основы слизистой оболочки. Заживает, не оставляя следа. Однако в приротовой области иногда после заживления эрозии может иметь место пигментация.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Нарушение процессов ороговения при предраковых поражениях.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основе ороговения (кератинизации) лежат процессы формирования в клетках комплекса кератогиалин+тонофибриллы с образованием кератиновых фибрилл. Образующееся при этом роговое вещество состоит из кератина, кератогиалина и жирных кислот.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Различают физиологическое и патологическое ороговение. Первое происходит в эпидермисе и выполняет защитную функцию. Образующийся при этом роговой слой состоит из большого количества рядов плоских безъядерных клеток – роговых чешуек. Ороговение клеток эпидермиса протекает постепенно – начинается с базальных эпидермиоцитов и заканчивается образованием полностью ороговевших клеток рогового слоя. Физиологическое ороговение эпидермиса происходит постоянно и сопровождается постоянным отторжением ороговевших поверхностных чешуек.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Патологическое ороговение проявляется в виде дис-, гипер- и паракератоза, а также наблюдается там, где роговой слой в норме не образуется. Склонность слизистой рта к повышенному ороговению объясняется ее происхождением из эктодермы.</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Кератозы</w:t>
      </w:r>
      <w:r>
        <w:rPr>
          <w:rFonts w:ascii="ALSStory;Arial" w:hAnsi="ALSStory;Arial"/>
          <w:b w:val="false"/>
          <w:i w:val="false"/>
          <w:caps w:val="false"/>
          <w:smallCaps w:val="false"/>
          <w:color w:val="000000"/>
          <w:spacing w:val="0"/>
          <w:sz w:val="21"/>
        </w:rPr>
        <w:t> – группа заболеваний кожи и слизистых оболочек не воспалительного характера, характеризующиеся утолщением ороговевающего и образованием рогового слоев.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Дискератоз </w:t>
      </w:r>
      <w:r>
        <w:rPr>
          <w:rFonts w:ascii="ALSStory;Arial" w:hAnsi="ALSStory;Arial"/>
          <w:b w:val="false"/>
          <w:i w:val="false"/>
          <w:caps w:val="false"/>
          <w:smallCaps w:val="false"/>
          <w:color w:val="000000"/>
          <w:spacing w:val="0"/>
          <w:sz w:val="21"/>
        </w:rPr>
        <w:t>– нарушение процесса ороговения, выражающееся патологической кератинизацией отдельных эпидермальных клеток, лишенных межклеточных контактов и хаотично расположенных во всех отделах эпидермиса.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Гиперкератоз </w:t>
      </w:r>
      <w:r>
        <w:rPr>
          <w:rFonts w:ascii="ALSStory;Arial" w:hAnsi="ALSStory;Arial"/>
          <w:b w:val="false"/>
          <w:i w:val="false"/>
          <w:caps w:val="false"/>
          <w:smallCaps w:val="false"/>
          <w:color w:val="000000"/>
          <w:spacing w:val="0"/>
          <w:sz w:val="21"/>
        </w:rPr>
        <w:t>– чрезмерное утолщение рогового слоя эпидермиса, в результате избыточного образования кератина.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Паракератоз </w:t>
      </w:r>
      <w:r>
        <w:rPr>
          <w:rFonts w:ascii="ALSStory;Arial" w:hAnsi="ALSStory;Arial"/>
          <w:b w:val="false"/>
          <w:i w:val="false"/>
          <w:caps w:val="false"/>
          <w:smallCaps w:val="false"/>
          <w:color w:val="000000"/>
          <w:spacing w:val="0"/>
          <w:sz w:val="21"/>
        </w:rPr>
        <w:t>– нарушение процесса ороговения, связанное с потерей способности клеток эпидермиса вырабатывать кератогиалин. При этом отмечается утолщение рогового и частичное или полное исчезновение зернистого слоя.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Акантоз </w:t>
      </w:r>
      <w:r>
        <w:rPr>
          <w:rFonts w:ascii="ALSStory;Arial" w:hAnsi="ALSStory;Arial"/>
          <w:b w:val="false"/>
          <w:i w:val="false"/>
          <w:caps w:val="false"/>
          <w:smallCaps w:val="false"/>
          <w:color w:val="000000"/>
          <w:spacing w:val="0"/>
          <w:sz w:val="21"/>
        </w:rPr>
        <w:t>– утолщение эпидермиса кожи и эпителия слизистой оболочки за счет усиления пролиферации базальных и шиповидных клеток.</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4</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Схема-топограмма СОПР (Roed-Petersen &amp; Renstrup, 1969) для топографирования зон локализации элементов поражения в модификации Гилевой О.С. и соавт. (РП № 2436 от 22.02.08) с цветовой кодировкой зон поражения по ТК ВОЗ.</w:t>
      </w:r>
    </w:p>
    <w:p>
      <w:pPr>
        <w:pStyle w:val="Normal"/>
        <w:bidi w:val="0"/>
        <w:jc w:val="left"/>
        <w:rPr>
          <w:color w:val="000000"/>
        </w:rPr>
      </w:pPr>
      <w:r>
        <w:rPr>
          <w:color w:val="000000"/>
        </w:rPr>
      </w:r>
    </w:p>
    <w:p>
      <w:pPr>
        <w:pStyle w:val="Normal"/>
        <w:bidi w:val="0"/>
        <w:jc w:val="left"/>
        <w:rPr>
          <w:color w:val="000000"/>
        </w:rPr>
      </w:pPr>
      <w:r>
        <w:rPr>
          <w:color w:val="000000"/>
        </w:rPr>
        <w:drawing>
          <wp:anchor behindDoc="0" distT="0" distB="0" distL="0" distR="0" simplePos="0" locked="0" layoutInCell="0" allowOverlap="1" relativeHeight="2">
            <wp:simplePos x="0" y="0"/>
            <wp:positionH relativeFrom="column">
              <wp:posOffset>-62230</wp:posOffset>
            </wp:positionH>
            <wp:positionV relativeFrom="paragraph">
              <wp:posOffset>73025</wp:posOffset>
            </wp:positionV>
            <wp:extent cx="5991225" cy="320040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991225" cy="3200400"/>
                    </a:xfrm>
                    <a:prstGeom prst="rect">
                      <a:avLst/>
                    </a:prstGeom>
                  </pic:spPr>
                </pic:pic>
              </a:graphicData>
            </a:graphic>
          </wp:anchor>
        </w:drawing>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Normal"/>
        <w:bidi w:val="0"/>
        <w:jc w:val="left"/>
        <w:rPr>
          <w:color w:val="000000"/>
        </w:rPr>
      </w:pPr>
      <w:r>
        <w:rPr>
          <w:color w:val="000000"/>
        </w:rPr>
      </w:r>
    </w:p>
    <w:p>
      <w:pPr>
        <w:pStyle w:val="3"/>
        <w:bidi w:val="0"/>
        <w:jc w:val="left"/>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5</w:t>
      </w:r>
    </w:p>
    <w:p>
      <w:pPr>
        <w:pStyle w:val="2"/>
        <w:widowControl/>
        <w:pBdr/>
        <w:bidi w:val="0"/>
        <w:spacing w:before="0" w:after="150"/>
        <w:ind w:left="0" w:right="0" w:hanging="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Дополнение к карте для определения пародонтологического статуса пациента</w:t>
      </w:r>
    </w:p>
    <w:p>
      <w:pPr>
        <w:pStyle w:val="Style14"/>
        <w:widowControl/>
        <w:bidi w:val="0"/>
        <w:ind w:left="0" w:right="0" w:hanging="0"/>
        <w:jc w:val="center"/>
        <w:rPr>
          <w:caps w:val="false"/>
          <w:smallCaps w:val="false"/>
          <w:color w:val="000000"/>
          <w:spacing w:val="0"/>
        </w:rPr>
      </w:pPr>
      <w:r>
        <w:rPr>
          <w:caps w:val="false"/>
          <w:smallCaps w:val="false"/>
          <w:color w:val="000000"/>
          <w:spacing w:val="0"/>
        </w:rPr>
        <w:drawing>
          <wp:inline distT="0" distB="0" distL="0" distR="0">
            <wp:extent cx="5943600" cy="4229100"/>
            <wp:effectExtent l="0" t="0" r="0" b="0"/>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3"/>
                    <a:stretch>
                      <a:fillRect/>
                    </a:stretch>
                  </pic:blipFill>
                  <pic:spPr bwMode="auto">
                    <a:xfrm>
                      <a:off x="0" y="0"/>
                      <a:ext cx="5943600" cy="4229100"/>
                    </a:xfrm>
                    <a:prstGeom prst="rect">
                      <a:avLst/>
                    </a:prstGeom>
                  </pic:spPr>
                </pic:pic>
              </a:graphicData>
            </a:graphic>
          </wp:inline>
        </w:drawing>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6</w:t>
      </w:r>
    </w:p>
    <w:p>
      <w:pPr>
        <w:pStyle w:val="2"/>
        <w:widowControl/>
        <w:pBdr/>
        <w:bidi w:val="0"/>
        <w:spacing w:before="0" w:after="150"/>
        <w:ind w:left="0" w:right="0" w:hanging="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Алгоритмы определения индексов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гигиены Грин – Вермиллиона</w:t>
      </w:r>
      <w:r>
        <w:rPr>
          <w:rFonts w:ascii="ALSStory;Arial" w:hAnsi="ALSStory;Arial"/>
          <w:b w:val="false"/>
          <w:i w:val="false"/>
          <w:caps w:val="false"/>
          <w:smallCaps w:val="false"/>
          <w:color w:val="000000"/>
          <w:spacing w:val="0"/>
          <w:sz w:val="21"/>
        </w:rPr>
        <w:t>.</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Представляет собой двойной индекс, т.е. состоящий их двух компонент:</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первая компонента-это индекс зубного налета </w:t>
      </w:r>
      <w:r>
        <w:rPr>
          <w:rStyle w:val="Style11"/>
          <w:rFonts w:ascii="ALSStory;Arial" w:hAnsi="ALSStory;Arial"/>
          <w:b w:val="false"/>
          <w:i w:val="false"/>
          <w:caps w:val="false"/>
          <w:smallCaps w:val="false"/>
          <w:color w:val="000000"/>
          <w:spacing w:val="0"/>
          <w:sz w:val="21"/>
        </w:rPr>
        <w:t>(DI-S)</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вторая компонента-это индекс зубного камня </w:t>
      </w:r>
      <w:r>
        <w:rPr>
          <w:rStyle w:val="Style11"/>
          <w:rFonts w:ascii="ALSStory;Arial" w:hAnsi="ALSStory;Arial"/>
          <w:b w:val="false"/>
          <w:i w:val="false"/>
          <w:caps w:val="false"/>
          <w:smallCaps w:val="false"/>
          <w:color w:val="000000"/>
          <w:spacing w:val="0"/>
          <w:sz w:val="21"/>
        </w:rPr>
        <w:t>(CI-S)</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Метод</w:t>
      </w:r>
      <w:r>
        <w:rPr>
          <w:rFonts w:ascii="ALSStory;Arial" w:hAnsi="ALSStory;Arial"/>
          <w:b w:val="false"/>
          <w:i w:val="false"/>
          <w:caps w:val="false"/>
          <w:smallCaps w:val="false"/>
          <w:color w:val="000000"/>
          <w:spacing w:val="0"/>
          <w:sz w:val="21"/>
        </w:rPr>
        <w:t>: Исследования проводят на вестибулярной поверхности зубов 16 11 26 31 и язычной поверхности зубов 36 и 46 с помощью стоматологического зонда и применения красителей.( флуоресцин натрия, эритрозин, синий цвет, флоксин 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оценки DI-S:</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0-нет налета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1-налет покрывает не более 1\3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2-налет покрывает от 1\3 до 2\3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3-налет покрывает более 2\3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DI-S=сумма баллов/6</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оценки CI-S</w:t>
      </w:r>
      <w:r>
        <w:rPr>
          <w:rFonts w:ascii="ALSStory;Arial" w:hAnsi="ALSStory;Arial"/>
          <w:b w:val="false"/>
          <w:i w:val="false"/>
          <w:caps w:val="false"/>
          <w:smallCaps w:val="false"/>
          <w:color w:val="000000"/>
          <w:spacing w:val="0"/>
          <w:sz w:val="21"/>
        </w:rPr>
        <w:t>:</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0-нет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1-наддесневой камень покрывает менее 1\3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2-наддесневой камень покрывает от 1\3 до 2\3 поверхности зуба или имеются отдельные частицы поддесневого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3-наддесневой камень покрывает более 2\3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СI-S=сумма баллов/6</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OHI-S=DI-S+CI-S</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оценки: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0,0-0,6 низкий (гигиена хорошая)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0,7-1,6 средний (гигиена удовлетворительная)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1,7-2,5 высокий (гигиена неудовлетворительная)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2,6-6,0 очень высокий(гигиена плохая)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гигиены Силнесс-Лое.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Определяют толщину зубного налета в придесневой области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Метод: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Окрашивать зубной налет не требуется. После высушивания зуба воздухом для выявления зубного налета используют стоматологическое зеркало и зонд.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Для определения индекса можно осмотреть все зубы или только 6 индексных зубов:</w:t>
      </w:r>
    </w:p>
    <w:tbl>
      <w:tblPr>
        <w:tblW w:w="4809" w:type="dxa"/>
        <w:jc w:val="left"/>
        <w:tblInd w:w="-7" w:type="dxa"/>
        <w:tblLayout w:type="fixed"/>
        <w:tblCellMar>
          <w:top w:w="45" w:type="dxa"/>
          <w:left w:w="45" w:type="dxa"/>
          <w:bottom w:w="45" w:type="dxa"/>
          <w:right w:w="45" w:type="dxa"/>
        </w:tblCellMar>
      </w:tblPr>
      <w:tblGrid>
        <w:gridCol w:w="285"/>
        <w:gridCol w:w="271"/>
        <w:gridCol w:w="345"/>
        <w:gridCol w:w="271"/>
        <w:gridCol w:w="345"/>
        <w:gridCol w:w="271"/>
        <w:gridCol w:w="271"/>
        <w:gridCol w:w="345"/>
        <w:gridCol w:w="345"/>
        <w:gridCol w:w="271"/>
        <w:gridCol w:w="271"/>
        <w:gridCol w:w="345"/>
        <w:gridCol w:w="271"/>
        <w:gridCol w:w="345"/>
        <w:gridCol w:w="271"/>
        <w:gridCol w:w="286"/>
      </w:tblGrid>
      <w:tr>
        <w:trPr/>
        <w:tc>
          <w:tcPr>
            <w:tcW w:w="2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8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r>
      <w:tr>
        <w:trPr/>
        <w:tc>
          <w:tcPr>
            <w:tcW w:w="285" w:type="dxa"/>
            <w:tcBorders>
              <w:left w:val="single" w:sz="6"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16</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21</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24</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86"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r>
      <w:tr>
        <w:trPr/>
        <w:tc>
          <w:tcPr>
            <w:tcW w:w="285" w:type="dxa"/>
            <w:tcBorders>
              <w:left w:val="single" w:sz="6"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44</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41</w:t>
            </w:r>
          </w:p>
        </w:tc>
        <w:tc>
          <w:tcPr>
            <w:tcW w:w="345"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rStyle w:val="Style11"/>
                <w:rFonts w:ascii="ALSStory;Arial" w:hAnsi="ALSStory;Arial"/>
                <w:color w:val="000000"/>
                <w:sz w:val="21"/>
              </w:rPr>
              <w:t>36</w:t>
            </w:r>
          </w:p>
        </w:tc>
        <w:tc>
          <w:tcPr>
            <w:tcW w:w="271"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c>
          <w:tcPr>
            <w:tcW w:w="286" w:type="dxa"/>
            <w:tcBorders>
              <w:left w:val="single" w:sz="2" w:space="0" w:color="808080"/>
              <w:bottom w:val="single" w:sz="2" w:space="0" w:color="808080"/>
              <w:right w:val="single" w:sz="6" w:space="0" w:color="808080"/>
            </w:tcBorders>
            <w:vAlign w:val="center"/>
          </w:tcPr>
          <w:p>
            <w:pPr>
              <w:pStyle w:val="Style18"/>
              <w:bidi w:val="0"/>
              <w:jc w:val="left"/>
              <w:rPr>
                <w:color w:val="000000"/>
              </w:rPr>
            </w:pPr>
            <w:r>
              <w:rPr>
                <w:color w:val="000000"/>
              </w:rPr>
              <w:t>   </w:t>
            </w:r>
          </w:p>
        </w:tc>
      </w:tr>
      <w:tr>
        <w:trPr/>
        <w:tc>
          <w:tcPr>
            <w:tcW w:w="285" w:type="dxa"/>
            <w:tcBorders>
              <w:left w:val="single" w:sz="6"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345"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71"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c>
          <w:tcPr>
            <w:tcW w:w="286" w:type="dxa"/>
            <w:tcBorders>
              <w:left w:val="single" w:sz="2" w:space="0" w:color="808080"/>
              <w:bottom w:val="single" w:sz="6" w:space="0" w:color="808080"/>
              <w:right w:val="single" w:sz="6" w:space="0" w:color="808080"/>
            </w:tcBorders>
            <w:vAlign w:val="center"/>
          </w:tcPr>
          <w:p>
            <w:pPr>
              <w:pStyle w:val="Style18"/>
              <w:bidi w:val="0"/>
              <w:jc w:val="left"/>
              <w:rPr>
                <w:color w:val="000000"/>
              </w:rPr>
            </w:pPr>
            <w:r>
              <w:rPr>
                <w:color w:val="000000"/>
              </w:rPr>
              <w:t>   </w:t>
            </w:r>
          </w:p>
        </w:tc>
      </w:tr>
    </w:tbl>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В области каждого зуба осматривают 4 участка: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дистально-вестибулярный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медиально-вестибулярный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язычный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Коды и критерии: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0 </w:t>
      </w:r>
      <w:r>
        <w:rPr>
          <w:rFonts w:ascii="ALSStory;Arial" w:hAnsi="ALSStory;Arial"/>
          <w:b w:val="false"/>
          <w:i w:val="false"/>
          <w:caps w:val="false"/>
          <w:smallCaps w:val="false"/>
          <w:color w:val="000000"/>
          <w:spacing w:val="0"/>
          <w:sz w:val="21"/>
        </w:rPr>
        <w:t>- нет налета.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 небольшое количество налета, выявляется только зондом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Применение: несмотря на то, что в исходной трактовке индекса окрашивающий раствор не применяли, его можно использовать, особенно для выявления данного кода.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 умеренный слой зубного налета в десневой области, видимый невооруженным глазом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3 </w:t>
      </w:r>
      <w:r>
        <w:rPr>
          <w:rFonts w:ascii="ALSStory;Arial" w:hAnsi="ALSStory;Arial"/>
          <w:b w:val="false"/>
          <w:i w:val="false"/>
          <w:caps w:val="false"/>
          <w:smallCaps w:val="false"/>
          <w:color w:val="000000"/>
          <w:spacing w:val="0"/>
          <w:sz w:val="21"/>
        </w:rPr>
        <w:t>- обильный налет, заполняющий нишу, образованную десневым краем и поверхностью зуба, а также межзубной промежуток</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 интенсивное отложение зубного налета в области десневого кармана и/ или на десневом крае и прилегающей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ФОРМУЛА=(сумма баллов)/(число обследованных поверхностей «4»)- значение для одного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Формула=(сумма балла всех зубов)/(на количество исследованных зубов) Значение для всех зубов.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кровоточивости Мюлеманна (в модификации Коуэла).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Используют для определения воспаления в тканях пародонта. Метод показателен при гингивите и пародонтите. В области «зубов Рамфьерда»,(16,21,24,36,41,44) с щечной и язычной (небной) сторон кончик пародонтального зонда без давления прижимают к стенке бороздки и медленно ведут от медиальной к дистальной стороне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Оценочная шкала следующая: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 если после этого кровоточивость отсутствует;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1-если кровоточивость появляется не раньше, чем через 30с;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2-если кровоточивость возникает или сразу после проведения кончиком зонда по стенке бороздки, или в пределах 30с.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3-если кровоточивость пациент отмечает при приеме пищи или чистке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Значение индекса = сумма показателей всех зубов /число зубов.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7</w:t>
      </w:r>
    </w:p>
    <w:p>
      <w:pPr>
        <w:pStyle w:val="2"/>
        <w:widowControl/>
        <w:pBdr/>
        <w:bidi w:val="0"/>
        <w:spacing w:before="0" w:after="150"/>
        <w:ind w:left="0" w:right="0" w:hanging="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Контролируемая чистка зубов</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С целью выработки у пациента навыков ухода за ртом (чистки зубов) и максимально эффективного удаления мягкого зубного налета с поверхностей зубов обучают пациента приемам гигиены рта. Технику чистки зубов демонстрируют на моделях. Индивидуально подбирают средства гигиены рта. Обучение навыкам гигиены рта способствует предупреждению развития воспалительных заболеваний пародонта (уровень убедительности доказательств В).</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Контролируемая чистка зубов - чистка зубов, которую пациент осуществляет самостоятельно в присутствии специалиста (врача-стоматолога, гигиениста стоматологического) в стоматологическом кабинете или комнате гигиены рта, при наличии необходимых средств гигиены и наглядных пособий. Цель данного мероприятия — коррекция недостатков техники чистки зубов. Контролируемая чистка зубов позволяет добиться эффективного поддержания уровня гигиены рта (уровень убедительности доказательств В).</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Профессиональная гигиена рта включает удаление с поверхности зуба мягких и твердых зубных отложений и позволяет предотвратить развитие воспалительных заболеваний пародонта (уровень убедительности доказательств А).</w:t>
      </w:r>
    </w:p>
    <w:p>
      <w:pPr>
        <w:pStyle w:val="2"/>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7"/>
        </w:rPr>
        <w:t>Алгоритм обучения гигиене рта</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Врач-стоматолог или гигиенист стоматологический определяет гигиенический индекс, затем демонстрирует пациенту технику чистки зубов зубной щеткой, межзубными ершиками и зубными нитями, используя модели зубных рядов, или другие демонстрационные средства.</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Существуют разные методы чистки зубов, основанные на круговых, вибрирующих, горизонтальных и вертикальных движениях. Однако важна не сама техника, а эффективность очищения, последовательность процедуры и отсутствие вредного воздействия.</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Чистку зубов начинают с участка в области верхних правых жевательных зубов, последовательно переходя от сегмента к сегменту. В таком же порядке проводят чистку зубов на нижней челюсти.</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Следует обращать внимание на то, что рабочая часть зубной щетки должна располагаться под углом 45° к зубу, производить очищающие движения от десны к зубу, одновременно удаляя налет с зубов и десен. Жевательные поверхности зубов очищают горизонтальными (возвратно-поступательными) движениями так, чтобы волокна щетки проникали глубоко в фиссуры и межзубные промежутки. Вестибулярную поверхность фронтальной группы зубов верхней и нижней челюстей очищать такими же движениями, как моляры и премоляры. При чистке оральной поверхности ручку щетки располагают перпендикулярно к окклюзионной плоскости зубов, при этом волокна должны находиться под острым углом к зубам и захватывать не только зубы, но и десну. Завершают чистку круговыми движениями зубной щетки при сомкнутых челюстях, осуществляя массаж десен.</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Для качественной чистки контактных поверхностей зубов необходимо использовать межзубные ершики и зубные нити.</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Индивидуальный подбор средств гигиены рта осуществляется с учетом стоматологического статуса пациента (состояния твердых тканей зубов и тканей пародонта, наличия зубочелюстных аномалий, съемных и несъемных ортодонтических и ортопедических конструкций).</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С целью закрепления полученных навыков проводят контроль индивидуальной гигиены рта (контролируемая чистка зубов).</w:t>
      </w:r>
    </w:p>
    <w:p>
      <w:pPr>
        <w:pStyle w:val="2"/>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7"/>
        </w:rPr>
        <w:t>Алгоритм контролируемой чистки зубов</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Контролируемая чистка зубов - это чистка зубов, которую пациент осуществляет самостоятельно в присутствии врача-стоматолога или гигиениста стоматологического.</w:t>
      </w:r>
    </w:p>
    <w:p>
      <w:pPr>
        <w:pStyle w:val="2"/>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7"/>
        </w:rPr>
        <w:t>Первое посещение</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Обработка зубов пациента окрашивающим средством, определение гигиенического индекса, демонстрация пациенту с помощью зеркала мест наибольшего скопления зубного налета.</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Чистка зубов пациентом в его обычной манере.</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Повторное определение гигиенического индекса, оценка эффективности чистки зубов (сравнение показателей индекса гигиены до и после чистки зубов), демонстрация пациенту с помощью зеркала окрашенных участков, где зубной налет не был удален при чистке.</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Демонстрация правильной техники чистки зубов на моделях, рекомендации пациенту по коррекции недостатков гигиенического ухода за ртом, использованию зубных нитей и дополнительных средств гигиены (специальных зубных щеток, зубных ершиков, монопучковых щеток, ирригаторов — по показаниям).</w:t>
      </w:r>
    </w:p>
    <w:p>
      <w:pPr>
        <w:pStyle w:val="2"/>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7"/>
        </w:rPr>
        <w:t>Следующее посещение</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Определение гигиенического индекса, при неудовлетворительном уровне гигиены рта — повторение процедуры. Пациента информируют о небходимости являться на профилактический осмотр к врачу при возникновении кровоточивости десен, но не реже 1 раза в год.</w:t>
      </w:r>
    </w:p>
    <w:p>
      <w:pPr>
        <w:pStyle w:val="2"/>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7"/>
        </w:rPr>
        <w:t>Алгоритм профессиональной гигиены рта и зубов</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Этапы профессиональной гигиены:</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обучение пациента индивидуальной гигиене рта;</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контролируемая чистка зубов;</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удаление зубных отложений;</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полирование поверхностей зубов;</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устранение факторов, способствующих скоплению зубного налета;</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аппликации реминерализирующих и фторидсодержащих средств;</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мотивация пациента к профилактике и лечению стоматологических заболеваний.</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При удалении зубных отложений (зубной камень, мягкий зубной налет) следует соблюдать ряд условий:</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провести обработку рта раствором антисептика;</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7"/>
        </w:rPr>
        <w:t>при выраженной гиперестезии зубов и отсутствии общих противопоказаний удаление зубных отложений нужно проводить под местным обезболиванием;</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Для удаления налета и полирования поверхностей зубов используют резиновые колпачки, для жевательных поверхностей — вращающиеся щеточки, для контактных поверхностей — вращающиеся ершики, резиновые конусы, суперфлоссы, флоссы и абразивные штрипсы. Полировочную пасту следует использовать, начиная с крупнодисперсной и заканчивая мелкодисперсной. При обработке поверхностей имплантатов следует использовать мелкодисперсные полировочные пасты и резиновые колпачки</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Необходимо устранить факторы, способствующие скоплению зубного налета: удалить нависающие края пломб и неправильно изготовленные ортопедические конструкции, провести повторное полирование пломб.</w:t>
      </w:r>
    </w:p>
    <w:p>
      <w:pPr>
        <w:pStyle w:val="2"/>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Периодичность проведения профессиональной гигиены рта и зубов зависит от стоматологического статуса пациента (гигиенического состояния рта, интенсивности кариеса зубов, состояния тканей пародонта, наличия несъемной ортодонтической аппаратуры и стоматологических имплантатов). Минимальная периодичность проведения профессиональной гигиены — 2 раза в год.</w:t>
      </w:r>
    </w:p>
    <w:p>
      <w:pPr>
        <w:pStyle w:val="2"/>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8</w:t>
      </w:r>
    </w:p>
    <w:p>
      <w:pPr>
        <w:pStyle w:val="2"/>
        <w:widowControl/>
        <w:pBdr/>
        <w:bidi w:val="0"/>
        <w:spacing w:before="0" w:after="150"/>
        <w:ind w:left="0" w:right="0" w:hanging="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Форма добровольного информированного согласия пациента при выполнении протокола приложение к медицинской карте №_____</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Пациент (законный представитель пациента) информирован о результатах обследования, диагнозе, о цели медицинского вмешательства и его последствиях, применяемых и альтернативных методах лечения, предполагаемых результатах лечения, ознакомлен с комплексным планом лечения, предупрежден о возможных осложнениях во время и после лечения и дает добровольное согласие на медицинское вмешательство.</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 этом пациент понимает, что несоблюдение указаний (рекомендаций) врача, в том числе назначенного режима лечения, может снизить качество оказываемой медицинской помощи. Повлечь за собой невозможность её завершения в срок или отрицательно сказаться на состоянии его здоровья.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пациента (законный представитель пациента)_____________</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врача _____________</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«___»________________20___г.</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9</w:t>
      </w:r>
    </w:p>
    <w:p>
      <w:pPr>
        <w:pStyle w:val="2"/>
        <w:widowControl/>
        <w:pBdr/>
        <w:bidi w:val="0"/>
        <w:spacing w:before="0" w:after="150"/>
        <w:ind w:left="0" w:right="0" w:hanging="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Дополнительная информация для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В острый период заболевания зубы необходимо чистить мягкой зубной щеткой с пастой два раза в день. После еды следует полоскать рот для удаления остатков пищи.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При возникновении кровоточивости при чистке зубов нельзя прекращать гигиенические процедуры. Если кровоточивость не проходит в течение 3-х дней, необходимо обратиться к врачу.</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Профессиональная гигиена (удаление назубных отложений) должна проводиться не реже 1 раза в 6 месяцев у лечащего врача-стоматолога.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Если после проведения профессиональной гигиены появилась повышенная чувствительность твердых тканей зубов, использовать специальные зубные пасты для снижения чувствительности зубов и обратиться к своему лечащему врачу-стоматологу.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Обязательно посещать плановые осмотры.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Необходимо полноценное и своевременное восстановление дефектов зубов и зубных рядов.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Устранение или нейтрализация действия профессиональных вредных факторов на пародонт.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Оздоровление условий труда, отдыха, питания и здоровый образ жизни.</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3"/>
        <w:widowControl/>
        <w:pBdr/>
        <w:bidi w:val="0"/>
        <w:spacing w:before="0" w:after="150"/>
        <w:ind w:left="0" w:right="0" w:hanging="0"/>
        <w:jc w:val="center"/>
        <w:rPr>
          <w:rFonts w:ascii="ALSStory;Arial" w:hAnsi="ALSStory;Arial"/>
          <w:b w:val="false"/>
          <w:i w:val="false"/>
          <w:caps w:val="false"/>
          <w:smallCaps w:val="false"/>
          <w:color w:val="000000"/>
          <w:spacing w:val="0"/>
          <w:sz w:val="23"/>
        </w:rPr>
      </w:pPr>
      <w:r>
        <w:rPr>
          <w:rFonts w:ascii="ALSStory;Arial" w:hAnsi="ALSStory;Arial"/>
          <w:b w:val="false"/>
          <w:i w:val="false"/>
          <w:caps w:val="false"/>
          <w:smallCaps w:val="false"/>
          <w:color w:val="000000"/>
          <w:spacing w:val="0"/>
          <w:sz w:val="23"/>
        </w:rPr>
        <w:t>Приложение 10</w:t>
      </w:r>
    </w:p>
    <w:p>
      <w:pPr>
        <w:pStyle w:val="2"/>
        <w:widowControl/>
        <w:pBdr/>
        <w:bidi w:val="0"/>
        <w:spacing w:before="0" w:after="150"/>
        <w:ind w:left="0" w:right="0" w:hanging="0"/>
        <w:jc w:val="center"/>
        <w:rPr>
          <w:rFonts w:ascii="ALSStory;Arial" w:hAnsi="ALSStory;Arial"/>
          <w:b w:val="false"/>
          <w:i w:val="false"/>
          <w:caps w:val="false"/>
          <w:smallCaps w:val="false"/>
          <w:color w:val="000000"/>
          <w:spacing w:val="0"/>
          <w:sz w:val="27"/>
        </w:rPr>
      </w:pPr>
      <w:r>
        <w:rPr>
          <w:rFonts w:ascii="ALSStory;Arial" w:hAnsi="ALSStory;Arial"/>
          <w:b w:val="false"/>
          <w:i w:val="false"/>
          <w:caps w:val="false"/>
          <w:smallCaps w:val="false"/>
          <w:color w:val="000000"/>
          <w:spacing w:val="0"/>
          <w:sz w:val="27"/>
        </w:rPr>
        <w:t>Анкета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ФИО__________________________________________ Дата заполнения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Как Вы оцениваете Ваше общее самочувствие на сегодняшний день?</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Отметьте, пожалуйста, на шкале значение, соответствующее состоянию Вашего здоровья.</w:t>
      </w:r>
    </w:p>
    <w:p>
      <w:pPr>
        <w:pStyle w:val="Style14"/>
        <w:widowControl/>
        <w:bidi w:val="0"/>
        <w:ind w:left="0" w:right="0" w:hanging="0"/>
        <w:jc w:val="center"/>
        <w:rPr>
          <w:caps w:val="false"/>
          <w:smallCaps w:val="false"/>
          <w:color w:val="000000"/>
          <w:spacing w:val="0"/>
        </w:rPr>
      </w:pPr>
      <w:r>
        <w:rPr>
          <w:caps w:val="false"/>
          <w:smallCaps w:val="false"/>
          <w:color w:val="000000"/>
          <w:spacing w:val="0"/>
        </w:rPr>
        <w:drawing>
          <wp:inline distT="0" distB="0" distL="0" distR="0">
            <wp:extent cx="4105275" cy="4429125"/>
            <wp:effectExtent l="0" t="0" r="0" b="0"/>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4"/>
                    <a:stretch>
                      <a:fillRect/>
                    </a:stretch>
                  </pic:blipFill>
                  <pic:spPr bwMode="auto">
                    <a:xfrm>
                      <a:off x="0" y="0"/>
                      <a:ext cx="4105275" cy="4429125"/>
                    </a:xfrm>
                    <a:prstGeom prst="rect">
                      <a:avLst/>
                    </a:prstGeom>
                  </pic:spPr>
                </pic:pic>
              </a:graphicData>
            </a:graphic>
          </wp:inline>
        </w:drawing>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Список литературы: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Анисимова И.В., НедосекоВ.Б., Ломиашвили Л.М. Клиника, диагностика и лечение заболеваний слизистой оболочки рта и губ. / Учебное пособие, - М. –Медицинская книга 2008, издательство «Стоматология» г.Омск -С.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Банченко Г.В., Рыбаков А.И. Заболевания слизистой оболочки полости рта /Монография. М., «Медицина», 1978, С. -175-179.</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Бернадский Ю.И. Основы челюстно-лицевой хирургии и хирургической стоматологии. – 3-е изд., перераб и доп. – М. Медицинская литература, 2007. – 417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Борк К. Болезни слизистой оболочки полости рта и губ. Клиника, диагностика и лечение. Атлас и руководство: пер. с нем./Борк К., Бургдорф В., Хеде H. - М.: Мед. лит., 2011. – 448 стр.: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5. Боровский Е.В. Терапевтическая стоматология /Учебник, МИА –М.2007. С. -626-631, -641-643.</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Гилева О.С., Смирнова Е.Н., Позднякова А.А. и др. Структура, факторы риска и клинические особенности заболеваний слизистой полости рта (по данным лечебно-консультативного приема). Пермский медицинский журнал. – 2012. - №6, том 29. – с.18-24.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Данилевский Н.Ф., Леонтьев В.К., Несин А.Ф., Рахний Ж.И. Заболевания слизистой оболочки полости рта. /Учебное пособие, ОАО «Стоматология», Москва, 2001.- 271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Дмитриева Л.А., Максимовский Ю.М. Терапевтическая стоматология: национальное руководство. – М. : ГЭОТАР-Медиа, 2009. – 912 с. – (Серия «Национальные руководства»).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9. Елькова Н.Л, Л.Н. Максимовская «Синдромные заболевания с поражением слизистой оболочки рта и кожи: диагностика, лечение, предупреждение осложнений», Воронеж, 2006.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10. Ксембаев С.С., Нестеров О.В. Предраки слизистой оболочки рта, красной каймы губ и кожи лица. – изд. 2-е дополненное. – Казань: Издательство «Отечество», 2011. – 112 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11. Ласкарис Д. Лечение заболеваний слизистой оболочки рта: Руководство для врачей. – М.: ООО «Медицинское информационное агентство», 2006. С. -118-120, -299.</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12. Машкиллейсон А.Л., Расулов М.М. Клиника, диагностика, лечение и профилактика лейкоплакии слизистой оболочки полости рта. /Методические рекомендации Москва, 1978,С. - 3-11. ГЦНБ 01-48793.</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13. Машкиллейсон А.Л. Совершенствование лечения лейкоплакий слизистой оболочки рта / Методические рекомендации 1985, М. С. -3-6. ГЦНБ М/10269.</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14. Морозова С.И., Савельева Н.А. Заболевания слизистой оболочки рта. /Атлас. Москва-МИА 2012 С. -62-71, -87-95.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15. Островский А.Д. Диссертация «Возможности оптической когерентной томографии в диагностики процесса пара- и гиперкератоза СОПР», 2008г.</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16. Поражения слизистой оболочки ротовой полости белого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лейкоплакия, плоский лишай) : учеб.-метод. пособие / Л.Н. Дедова [ и др.]. – Минск: БГМУ, 2010. – 43с.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 Рабинович И.М., Рабинович О.Ф., Островский А.Д., Новые возможности диагностики лейкоплакии слизистой оболочки полости рта. // Стоматология. -2007. – Спецвыпуск. – с. 37-40.</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18. Рабинович О.Ф., Рабинович И.М., Разживина Н.В., Банченко Г.В. – М., 2008. -14 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19. Робустова Т.Г. Хирургическая стоматология / Учебник, - 4-е изд., перераб. и доп. – М.: ОАО Издательство «Медицина», 2010. – 688с.: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20. Рыбаков А.И., Банченко Г.В. Заболевания слизистой оболочки полости рта М., «Медицина», 1978, 232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21. Сильвермен С. Заболевания полости рта / Сол Сильвермен, Л. Рой Эверсоул, Эдмонд Л. Трулав ; пер. с англ. – М. : МЕДпресс-информ, 2010. – 472 с. :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22. Стоматологическая документация на специализированном приеме больных с заболеваниями слизистой оболочки полости рта: Методические рекомендации для врачей - стоматологов. – Пермь, 2008. – 18 с. (Гилева О.С., Новиков А.Ю., Белева Н.С. и др.).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23. Фомина Ю.В., Гажва С.И. Оптическая когерентная томография в диагностике заболеваний слизистой оболочке рта / Нижегородский медицинский журнал – приложение «Стоматология». – 2003. – с.122-124.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24. Шебеко Л.В., Н.Э. Кедич Роль врача-стоматолога в профилактике онкологических заболеваний / УО «Белорусский государственный медицинский университет», г. Минск, 2011г.</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25. Banoczy J. Oral leukoplakia. Akademia i Kiado, Budapest, 1982, 231 p.</w:t>
      </w:r>
    </w:p>
    <w:p>
      <w:pPr>
        <w:pStyle w:val="Normal"/>
        <w:bidi w:val="0"/>
        <w:jc w:val="left"/>
        <w:rPr>
          <w:color w:val="000000"/>
        </w:rPr>
      </w:pPr>
      <w:r>
        <w:rPr>
          <w:color w:val="000000"/>
        </w:rPr>
      </w:r>
    </w:p>
    <w:p>
      <w:pPr>
        <w:pStyle w:val="Normal"/>
        <w:bidi w:val="0"/>
        <w:jc w:val="left"/>
        <w:rPr>
          <w:color w:val="000000"/>
        </w:rPr>
      </w:pPr>
      <w:r>
        <w:rPr>
          <w:color w:val="000000"/>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Arial">
    <w:charset w:val="cc"/>
    <w:family w:val="swiss"/>
    <w:pitch w:val="variable"/>
  </w:font>
  <w:font w:name="ALSStory">
    <w:altName w:val="Arial"/>
    <w:charset w:val="cc"/>
    <w:family w:val="auto"/>
    <w:pitch w:val="default"/>
  </w:font>
</w:fonts>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Unicode MS"/>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Times New Roman" w:hAnsi="Times New Roman" w:eastAsia="NSimSun" w:cs="Arial Unicode MS"/>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Times New Roman" w:hAnsi="Times New Roman" w:eastAsia="NSimSun" w:cs="Arial Unicode MS"/>
      <w:b/>
      <w:bCs/>
      <w:sz w:val="48"/>
      <w:szCs w:val="48"/>
    </w:rPr>
  </w:style>
  <w:style w:type="paragraph" w:styleId="2">
    <w:name w:val="Heading 2"/>
    <w:basedOn w:val="Style13"/>
    <w:next w:val="Style14"/>
    <w:qFormat/>
    <w:pPr>
      <w:spacing w:before="200" w:after="120"/>
      <w:outlineLvl w:val="1"/>
    </w:pPr>
    <w:rPr>
      <w:rFonts w:ascii="Times New Roman" w:hAnsi="Times New Roman" w:eastAsia="NSimSun" w:cs="Arial Unicode MS"/>
      <w:b/>
      <w:bCs/>
      <w:sz w:val="36"/>
      <w:szCs w:val="36"/>
    </w:rPr>
  </w:style>
  <w:style w:type="paragraph" w:styleId="3">
    <w:name w:val="Heading 3"/>
    <w:basedOn w:val="Style13"/>
    <w:next w:val="Style14"/>
    <w:qFormat/>
    <w:pPr>
      <w:spacing w:before="140" w:after="120"/>
      <w:outlineLvl w:val="2"/>
    </w:pPr>
    <w:rPr>
      <w:rFonts w:ascii="Times New Roman" w:hAnsi="Times New Roman" w:eastAsia="NSimSun" w:cs="Arial Unicode MS"/>
      <w:b/>
      <w:bCs/>
      <w:sz w:val="28"/>
      <w:szCs w:val="28"/>
    </w:rPr>
  </w:style>
  <w:style w:type="character" w:styleId="Style11">
    <w:name w:val="Strong"/>
    <w:qFormat/>
    <w:rPr>
      <w:b/>
      <w:bCs/>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Arial" w:hAnsi="Arial" w:eastAsia="Microsoft YaHei" w:cs="Arial Unicode MS"/>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Unicode MS"/>
    </w:rPr>
  </w:style>
  <w:style w:type="paragraph" w:styleId="Style16">
    <w:name w:val="Caption"/>
    <w:basedOn w:val="Normal"/>
    <w:qFormat/>
    <w:pPr>
      <w:suppressLineNumbers/>
      <w:spacing w:before="120" w:after="120"/>
    </w:pPr>
    <w:rPr>
      <w:rFonts w:cs="Arial Unicode MS"/>
      <w:i/>
      <w:iCs/>
      <w:sz w:val="24"/>
      <w:szCs w:val="24"/>
    </w:rPr>
  </w:style>
  <w:style w:type="paragraph" w:styleId="Style17">
    <w:name w:val="Указатель"/>
    <w:basedOn w:val="Normal"/>
    <w:qFormat/>
    <w:pPr>
      <w:suppressLineNumbers/>
    </w:pPr>
    <w:rPr>
      <w:rFonts w:cs="Arial Unicode MS"/>
      <w:lang w:val="zxx" w:eastAsia="zxx" w:bidi="zxx"/>
    </w:rPr>
  </w:style>
  <w:style w:type="paragraph" w:styleId="Style18">
    <w:name w:val="Содержимое таблицы"/>
    <w:basedOn w:val="Normal"/>
    <w:qFormat/>
    <w:pPr>
      <w:widowControl w:val="false"/>
      <w:suppressLineNumbers/>
    </w:pPr>
    <w:rPr/>
  </w:style>
  <w:style w:type="paragraph" w:styleId="Style19">
    <w:name w:val="Заголовок таблицы"/>
    <w:basedOn w:val="Style18"/>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LibreOffice/7.4.2.3$Windows_X86_64 LibreOffice_project/382eef1f22670f7f4118c8c2dd222ec7ad009daf</Application>
  <AppVersion>15.0000</AppVersion>
  <Pages>32</Pages>
  <Words>9325</Words>
  <Characters>69199</Characters>
  <CharactersWithSpaces>77807</CharactersWithSpaces>
  <Paragraphs>1110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2023-08-24T11:20:47Z</dcterms:created>
  <dc:creator/>
  <dc:description/>
  <dc:language>ru-RU</dc:language>
  <cp:lastModifiedBy/>
  <dcterms:modified xsi:type="dcterms:W3CDTF">2023-08-24T11:22:43Z</dcterms:modified>
  <cp:revision>1</cp:revision>
  <dc:subject/>
  <dc:title/>
</cp:coreProperties>
</file>