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2"/>
        <w:bidi w:val="0"/>
        <w:spacing w:before="200" w:after="12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КЛИНИЧЕСКИЕ РЕКОМЕНДАЦИИ (ПРОТОКОЛЫ ЛЕЧЕНИЯ)</w:t>
      </w:r>
    </w:p>
    <w:p>
      <w:pPr>
        <w:pStyle w:val="1"/>
        <w:widowControl/>
        <w:pBdr/>
        <w:bidi w:val="0"/>
        <w:spacing w:before="0" w:after="150"/>
        <w:ind w:left="0" w:right="0" w:hanging="0"/>
        <w:jc w:val="center"/>
        <w:rPr>
          <w:rFonts w:ascii="ALSStory;Arial" w:hAnsi="ALSStory;Arial"/>
          <w:b w:val="false"/>
          <w:i w:val="false"/>
          <w:caps w:val="false"/>
          <w:smallCaps w:val="false"/>
          <w:color w:val="000000"/>
          <w:spacing w:val="0"/>
          <w:sz w:val="32"/>
        </w:rPr>
      </w:pPr>
      <w:r>
        <w:rPr>
          <w:rFonts w:ascii="ALSStory;Arial" w:hAnsi="ALSStory;Arial"/>
          <w:b w:val="false"/>
          <w:i w:val="false"/>
          <w:caps w:val="false"/>
          <w:smallCaps w:val="false"/>
          <w:color w:val="000000"/>
          <w:spacing w:val="0"/>
          <w:sz w:val="32"/>
        </w:rPr>
        <w:t>ЛЕЙКОПЛАКИЯ</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Москва 2013</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«Лейкоплакия» разработаны Федеральным государственным бюджетным учреждением "Центральный научно-исследовательский институт стоматологии и челюстно-лицевой хирургии" Министерства здравоохранения Российской Федерации (ФГБУ "ЦНИИС и ЧЛХ" Минздрава России) (Вагнер В.Д., Рабинович О.Ф., Рабинович И.М., Смирнова Л.Е., Селиверстова Е.А.) и Государственным бюджетным образовательным учреждением «Московский государственный медико-стоматологический университет им. А.И.Евдокимова» Министерства здравоохранения Российской Федерации (ГБОУ ВПО МГМСУ им. А.И. Евдокимова Минздрава России) (Кузьмина Э.М., Максимовская Л.Н., Малый А.Ю., Эктова А.И.).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 ОБЛАСТЬ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лечения больных при заболевании слизистой оболочки рта «Лейкоплакия» предназначен для применения в системе здравоохранения Российской Федерации.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 НОРМАТИВНЫЕ ССЫЛКИ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протоколе использованы ссылки на следующие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Федеральный закон «Об основах охраны здоровья граждан в Российской Федерации» от 21 ноября 2011г. №323-ФЗ (Собрание законодательства Российской Федерации, 2011, № 48, ст. 6724).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мерах по стабилизации и развитию здравоохранения и медицинской науки в Российской Федерации» от 05.11.97 г. № 1387 (Собрание законодательства Российской Федерации, 1997, № 46, ст. 5312).</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22 октября 2012 г. № 1074 (Собрание законодательства Российской Федерации, 2012, №44, ст.6021 ).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номенклатуры медицинских услуг» от 27 декабря 2011г. №1664н.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Порядка оказания медицинской помощи взрослому населению при стоматологических заболеваниях» от 7 декабря 2011 г. № 1496н.</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III.ОБОЗНАЧЕНИЯ И СОКРАЩЕНИЯ</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 настоящем протоколе использованы следующие обозначения и сокращения</w:t>
      </w:r>
      <w:r>
        <w:rPr>
          <w:rStyle w:val="Style11"/>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 Международная статистическая классификация болезней и проблем, связанных со здоровьем десятого пересмотра.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 Международная классификация стоматологических болезней на основе МКБ-10.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 – Всемирная Организация Здравоохранения.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СОР – Слизистая оболочка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 Оптическая когерентная томография.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Фотодинамическая терапия.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IV. ОБЩИЕ ПОЛОЖЕНИЯ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Протокол лечения больных при заболевании слизистой оболочки рта «Лейкоплакия» разработан для решения следующих задач:</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установление единых требований к порядку диагностики и лечения больных с лейкоплакией;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унификация разработки базовых программ обязательного медицинского страховании и оптимизация медицинской помощи больным с лейкоплакией;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обеспечение оптимальных объемов, доступности и качества медицинской помощи, оказываемой пациенту в медицинской организации.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документе используется шкала убедительности доказательств данных:</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A) Доказательства убедительны: </w:t>
      </w:r>
      <w:r>
        <w:rPr>
          <w:rFonts w:ascii="ALSStory;Arial" w:hAnsi="ALSStory;Arial"/>
          <w:b w:val="false"/>
          <w:i w:val="false"/>
          <w:caps w:val="false"/>
          <w:smallCaps w:val="false"/>
          <w:color w:val="000000"/>
          <w:spacing w:val="0"/>
          <w:sz w:val="21"/>
        </w:rPr>
        <w:t>есть веские доказательства предлагаемому утверждению.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B) Относительная убедительность доказательств</w:t>
      </w:r>
      <w:r>
        <w:rPr>
          <w:rFonts w:ascii="ALSStory;Arial" w:hAnsi="ALSStory;Arial"/>
          <w:b w:val="false"/>
          <w:i w:val="false"/>
          <w:caps w:val="false"/>
          <w:smallCaps w:val="false"/>
          <w:color w:val="000000"/>
          <w:spacing w:val="0"/>
          <w:sz w:val="21"/>
        </w:rPr>
        <w:t>: есть достаточно доказательств в пользу того, чтобы рекомендовать данное предложение.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C) Достаточных доказательств нет</w:t>
      </w:r>
      <w:r>
        <w:rPr>
          <w:rFonts w:ascii="ALSStory;Arial" w:hAnsi="ALSStory;Arial"/>
          <w:b w:val="false"/>
          <w:i w:val="false"/>
          <w:caps w:val="false"/>
          <w:smallCaps w:val="false"/>
          <w:color w:val="000000"/>
          <w:spacing w:val="0"/>
          <w:sz w:val="21"/>
        </w:rPr>
        <w:t>: имеющихся доказательств недостаточно для вынесения рекомендации, но рекомендации могут быть даны с учетом иных обстоятельств.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 Достаточно отрицательных доказательств</w:t>
      </w:r>
      <w:r>
        <w:rPr>
          <w:rFonts w:ascii="ALSStory;Arial" w:hAnsi="ALSStory;Arial"/>
          <w:b w:val="false"/>
          <w:i w:val="false"/>
          <w:caps w:val="false"/>
          <w:smallCaps w:val="false"/>
          <w:color w:val="000000"/>
          <w:spacing w:val="0"/>
          <w:sz w:val="21"/>
        </w:rPr>
        <w:t>: имеется достаточно доказательств, чтобы рекомендовать отказаться от применения в определенных условиях данного лекарственного средства, метода, технологии.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E) Веские отрицательные доказательства</w:t>
      </w:r>
      <w:r>
        <w:rPr>
          <w:rFonts w:ascii="ALSStory;Arial" w:hAnsi="ALSStory;Arial"/>
          <w:b w:val="false"/>
          <w:i w:val="false"/>
          <w:caps w:val="false"/>
          <w:smallCaps w:val="false"/>
          <w:color w:val="000000"/>
          <w:spacing w:val="0"/>
          <w:sz w:val="21"/>
        </w:rPr>
        <w:t>: имеются достаточно убедительные доказательства того, чтобы исключить лекарственное средство, метод, технологию из рекомендаций.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 ВЕДЕНИЕ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Ведение Протокола при заболевании слизистой оболочки рта «Лейкедема» осуществляется ФГБУ "ЦНИИС и ЧЛХ" Минздрава России и ГБОУ ВПО МГМСУ им. А.И. Евдокимова Минздрава России. Система ведения предусматривает взаимодействие ФГБУ "ЦНИИС и ЧЛХ" Минздрава России и ГБОУ ВПО «МГМСУ им. А.И. Евдокимова» Минздрава России со всеми заинтересованными организациями.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 ОБЩИЕ ВОПРОСЫ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общей структуре оказания медицинской помощи больным в стоматологических медицинских организациях лейкоплакия встречается в возрастной группе пациентов от 30 до 70 лет, преимущественно у мужчин (4,3% по сравнению с 1,9% у женщин). На 100% случаев обращающихся с лейкоплакией рта приходится 5,6% предраковых состояний и 4,87% случаев раннего рака. Это пациенты с веррукозной и эрозивно-язвенной формой лейкоплакии, у которых состояние предрака может трансформироваться в инвазивный плоскоклеточный рак. Начинающаяся или прогрессирующая карцинома слизистой оболочки рта из-за усиленного ороговения может имитировать лейкоплакию. Поэтому любой случай лейкоплакии, который не поддается четкому определению и не является однозначно доброкачественным требует гистологического и других исследований, чтобы вовремя диагностировать предраковое состояние или рак.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ПОНЯТИЯ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Лейкоплакия – заболевание слизистой оболочки рта (СОР), в основе которого лежит хроническое воспаление, сопровождающееся нарушением ороговения, включая гиперкератоз и паракератоз.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ЭТИОЛОГИЯ И ПАТОГЕНЕЗ</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Причина развития лейкоплакии окончательно не установлена. Основными предрасполагающими и отягощающими течение данного заболевания факторами являются курение, злоупотребление алкоголем, вирус папилломы человека (ВПЧ), </w:t>
      </w:r>
      <w:r>
        <w:rPr>
          <w:rStyle w:val="Style12"/>
          <w:rFonts w:ascii="ALSStory;Arial" w:hAnsi="ALSStory;Arial"/>
          <w:b w:val="false"/>
          <w:i w:val="false"/>
          <w:caps w:val="false"/>
          <w:smallCaps w:val="false"/>
          <w:color w:val="000000"/>
          <w:spacing w:val="0"/>
          <w:sz w:val="21"/>
        </w:rPr>
        <w:t>Candida</w:t>
      </w:r>
      <w:r>
        <w:rPr>
          <w:rFonts w:ascii="ALSStory;Arial" w:hAnsi="ALSStory;Arial"/>
          <w:b w:val="false"/>
          <w:i w:val="false"/>
          <w:caps w:val="false"/>
          <w:smallCaps w:val="false"/>
          <w:color w:val="000000"/>
          <w:spacing w:val="0"/>
          <w:sz w:val="21"/>
        </w:rPr>
        <w:t> </w:t>
      </w:r>
      <w:r>
        <w:rPr>
          <w:rStyle w:val="Style12"/>
          <w:rFonts w:ascii="ALSStory;Arial" w:hAnsi="ALSStory;Arial"/>
          <w:b w:val="false"/>
          <w:i w:val="false"/>
          <w:caps w:val="false"/>
          <w:smallCaps w:val="false"/>
          <w:color w:val="000000"/>
          <w:spacing w:val="0"/>
          <w:sz w:val="21"/>
        </w:rPr>
        <w:t>albicans</w:t>
      </w:r>
      <w:r>
        <w:rPr>
          <w:rFonts w:ascii="ALSStory;Arial" w:hAnsi="ALSStory;Arial"/>
          <w:b w:val="false"/>
          <w:i w:val="false"/>
          <w:caps w:val="false"/>
          <w:smallCaps w:val="false"/>
          <w:color w:val="000000"/>
          <w:spacing w:val="0"/>
          <w:sz w:val="21"/>
        </w:rPr>
        <w:t>, а также другие факторы: механическая травма СОР, губ; острые края кариозных зубов, нависающие края пломб; патологический прикус; некачественно изготовленные протезы; гальванизм; чрезмерное употребление острой, горячей пищи. При локализации лейкоплакии на красной кайме губ важное значение в ее возникновении имеют хроническая травма мундштуком курительной трубки, сигары, систематическое прижигание красной каймы при «докуривании» сигареты, а также неблагоприятные метеорологические условия. Отмечено возникновение лейкоплакии у лиц, имеющих профессиональную вредность (электрики, шахтеры, нефтяники и др.). Важная роль в возникновении и развитии лейкоплакии принадлежит заболеваниям желудочно-кишечного тракта, которые ослабляют резистентность СОР к внешним раздражителям и могут привести к нарушению усвоения витамина А, регулирующего процессы кератинизации. Сахарный диабет, нарушение обмена холестерина, наследственная предрасположенность к возникновению нарушений ороговения, также могут играть роль в патогенезе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КЛИНИЧЕСКАЯ КАРТИНА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Клиническая картина и прогноз лейкоплакии во многом определяется локализацией. Частая локализация: углы рта, щеки, язык, губы, слизистая оболочка твердого и мягкого неба, дно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Как правило, лейкоплакия начинается с помутнения СОР. Его очаги типичны для курильщиков (лейкоплакия курильщиков Таппейнера). Наиболее часто встречается простая или плоская лейкоплакия. Эта форма, как правило, не вызывает субъективных ощущений и обычно обнаруживается при осмотре. Простая лейкоплакия при благоприятных обстоятельствах может длительно не прогрессировать.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Основным признаком веррукозной лейкоплакии является выраженное ороговение с возвышением над уровнем окружающей СОР, в связи с этим появляется чувство шероховатости и стянутости, больные жалуются на жжение во рту и боль при приеме пищи, особенно острой.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Эрозивно-язвенная форма лейкоплакии является обычно осложнением простой или веррукозной лейкоплакии. Появляются жалобы на боль, усиливающуюся от действия всех видов раздражителей. На фоне очагов простой или веррукозной лейкоплакии возникают одиночные эрозии, язвы, которые плохо эпителизируются и часто рецидивируют. Эрозивно-язвенная форма подвергается малигнизации в 21, 4% случаев. Наиболее опасные в плане озлокачествления зоны СОР: подъязычная область, боковая поверхность языка, мягкое небо.</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Кандидозная лейкоплакия (candidal leukoplakia) включает лейкоплакию с присоединением или длительным существованием хронической кандидозной инфекции. Инфекции, вызванная </w:t>
      </w:r>
      <w:r>
        <w:rPr>
          <w:rStyle w:val="Style12"/>
          <w:rFonts w:ascii="ALSStory;Arial" w:hAnsi="ALSStory;Arial"/>
          <w:b w:val="false"/>
          <w:i w:val="false"/>
          <w:caps w:val="false"/>
          <w:smallCaps w:val="false"/>
          <w:color w:val="000000"/>
          <w:spacing w:val="0"/>
          <w:sz w:val="21"/>
        </w:rPr>
        <w:t>Candida</w:t>
      </w:r>
      <w:r>
        <w:rPr>
          <w:rFonts w:ascii="ALSStory;Arial" w:hAnsi="ALSStory;Arial"/>
          <w:b w:val="false"/>
          <w:i w:val="false"/>
          <w:caps w:val="false"/>
          <w:smallCaps w:val="false"/>
          <w:color w:val="000000"/>
          <w:spacing w:val="0"/>
          <w:sz w:val="21"/>
        </w:rPr>
        <w:t> </w:t>
      </w:r>
      <w:r>
        <w:rPr>
          <w:rStyle w:val="Style12"/>
          <w:rFonts w:ascii="ALSStory;Arial" w:hAnsi="ALSStory;Arial"/>
          <w:b w:val="false"/>
          <w:i w:val="false"/>
          <w:caps w:val="false"/>
          <w:smallCaps w:val="false"/>
          <w:color w:val="000000"/>
          <w:spacing w:val="0"/>
          <w:sz w:val="21"/>
        </w:rPr>
        <w:t>albicans, </w:t>
      </w:r>
      <w:r>
        <w:rPr>
          <w:rFonts w:ascii="ALSStory;Arial" w:hAnsi="ALSStory;Arial"/>
          <w:b w:val="false"/>
          <w:i w:val="false"/>
          <w:caps w:val="false"/>
          <w:smallCaps w:val="false"/>
          <w:color w:val="000000"/>
          <w:spacing w:val="0"/>
          <w:sz w:val="21"/>
        </w:rPr>
        <w:t>способствует развитию диспластических изменений в эпителии. Примерно в 10-40% случаев происходит малигнизация, что выше, чем при других формах идиопатической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Волосатая лейкоплакия – предраковое диспластическое заболевание, вызываемое вирусом Эпштейн-Барра у лиц, с выраженным нарушением иммунной системы, у больных ВИЧ - инфекцией и СПИДом, у больных на фоне приема иммунносупрессивных препаратов при пересадке органов. Представляет собой возвышающиеся участки серовато-белого цвета размером до 2-3 см. Границы очага поражения четкие, поверхность шероховатая, неровная, ворсинчатая. Излюбленная локализация – боковая поверхность языка.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КЛАССИФИКАЦИЯ ЛЕЙКОПЛАКИИ по МКБ-C:</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 XI: БОЛЕЗНИ ОРГАНОВ ПИЩЕВАРЕНИЯ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 ЛЕЙКОПЛАКИЯ И ДРУГИЕ ИЗМЕНЕНИЯ ЭПИТЕЛИЯ ПОЛОСТИ РТА, ВКЛЮЧАЯ ЯЗЫК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К13.20 Лейкоплакия идиопатическая;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К13.21 Лейкоплакия, связанная с употреблением табака;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K13.24 Небо курильщика [никотиновый лейкокератоз неба] [никотиновый стоматит];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K13.3 ВОЛОСАТАЯ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 I: НЕКОТОРЫЕ ИНФЕКЦИОННЫЕ И ПАРАЗИТАРНЫЕ БОЛЕЗНИ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B37.0 КАНДИДОЗНЫЙ СТОМАТИТ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В37.02 Кандидозная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ДИАГНОСТИКЕ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лейкоплакии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а также на выявление в анамнезе факторов, способствующих ухудшению состояния и препятствующих немедленному началу лечения. Такими факторами могут быть: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непереносимость лекарственных препаратов и материалов, используемых на данном этапе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неадекватное психо-эмоциональное состояние пациента перед лечением;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угрожающее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менее чем за 6 месяцев до момента обращения за стоматологической помощью;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отказ от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зависимости от поставленного диагноза составляют комплексный план лечения заболевания. Клиническая картина лейкоплакии находится в зависимости от ее формы. Зачастую проведение более тщательной диагностики требует привлечения специалистов общего лечебного профиля.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диагностики используют дополнительные методы исследования.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Это позволяет получать более детальную информацию об очаге поражения, особенно при различных кератозах. Здоровая СОР отсвечивает бледным синевато-фиолетовым цветом.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Морфологическое исследование может быть проведено двумя методами - цитологическим и гистологическим.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(оптическая когерентная томография) - метод локации микронеоднородностей сильно рассеивающих сред. Данная методика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устанавливать структурные нарушения в результате развития патологии.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Электронно-микроскопическое исследование – метод морфологического исследования объектов с помощью потока электронов, позволяющих изучить структуру этих объектов на микромолекулярном и субклеточном уровнях.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Микробиологическое исследование – это метод исследования, позволяющий определить количественное и качественное содержимое микроорганизмов на слизистой оболочке рта, в слюне и соскобе.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ЛЕЧЕНИЮ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Принципы лечения больных с лейкоплакией рта и красной каймы губ предусматривают одновременное решение нескольких задач:</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предупреждение травмирования красной каймы губ и СОР, вызванного дефектами в зубных рядах, острыми краями разрушенных зубов и зубными протезами, курением, а также защита от действия неблагоприятных метеорологических факторов;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устранение или уменьшение очага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общей резистентности организма;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качества жизни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проведение профилактических осмотров населения с целью санации и проведение индивидуальной санитарно-просветительной работы;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обязательное диспансерное наблюдение за больными лейкоплакией у врача-стоматолога 2-3 раза в год с оценкой состояния зубо - челюстной системы и зубных протезов при их наличии;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 подозрении на наличие соматических заболеваний консультация и/или лечение у специалистов соответствующего профиля.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лейкоплакии включает: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составление плана лечения, учитывая модель пациента, размер и локализацию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обучение пациентов гигиене, тщательному уходу за ртом и мотивация к отказу от вредных привычек, особенно важен отказ от курения;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санацию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терапевтическое лечение с использованием лекарственных средств;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хирургическое лечение по потребности;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физиотерапевтические процедуры по потребности.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лечении лейкоплакии применяются только те лекарственные средства, которые разрешены к применению на территории Российской Федерации в установленном порядке.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ОРГАНИЗАЦИЯ МЕДИЦИНСКОЙ ПОМОЩИ ПАЦИЕНТАМ С ЛЕЙКОПЛАКИЕЙ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пациентов с лейкоплакией проводится в стоматологических медицинских организациях в амбулаторно-поликлинических условиях, стоматологических кабинетах, оснащенных в соответствии с приложением 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Оказание помощи больным с лейкоплакией осуществляется в основном врачами-стоматологами общей практики, врачами-стоматологами-терапевтами, врачами-стоматологами-хирургами, врачами-стоматологами-ортопедами, зубными врачами, врачами – физиотерапевтами, а также другими специалистами по показанию. В процессе оказания помощи принимает участие средний медицинский персонал.</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 ХАРАКТЕРИСТИКА ТРЕБОВАНИЙ ПРОТОКОЛА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лейкоплакия идиопатическая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плоская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К13.20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Основной морфологический элемент - бляшка серовато-белого цвета, с четкими краями, перламутровым блеском, на видимо не измененной СОР, которая представляет собой неравномерное помутнение эпителия.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Не выступает над уровнем окружающих участков СОР.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Не снимается при поскабливании.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w:t>
      </w:r>
      <w:r>
        <w:rPr>
          <w:rFonts w:ascii="ALSStory;Arial" w:hAnsi="ALSStory;Arial"/>
          <w:b w:val="false"/>
          <w:i w:val="false"/>
          <w:caps w:val="false"/>
          <w:smallCaps w:val="false"/>
          <w:color w:val="000000"/>
          <w:spacing w:val="0"/>
          <w:sz w:val="21"/>
        </w:rPr>
        <w:t> Слизистая оболочка на участках поражения берется в складку.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Гистологически - явления гиперкератоза, слабо выраженного акантоза.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При люминесцентном исследовании голубое свечение участка поражения.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7. </w:t>
      </w:r>
      <w:r>
        <w:rPr>
          <w:rFonts w:ascii="ALSStory;Arial" w:hAnsi="ALSStory;Arial"/>
          <w:b w:val="false"/>
          <w:i w:val="false"/>
          <w:caps w:val="false"/>
          <w:smallCaps w:val="false"/>
          <w:color w:val="000000"/>
          <w:spacing w:val="0"/>
          <w:sz w:val="21"/>
        </w:rPr>
        <w:t>При ОКТ – исследовании изображение слоистое, дифференцируются два горизонтально ориентированных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8. </w:t>
      </w:r>
      <w:r>
        <w:rPr>
          <w:rFonts w:ascii="ALSStory;Arial" w:hAnsi="ALSStory;Arial"/>
          <w:b w:val="false"/>
          <w:i w:val="false"/>
          <w:caps w:val="false"/>
          <w:smallCaps w:val="false"/>
          <w:color w:val="000000"/>
          <w:spacing w:val="0"/>
          <w:sz w:val="21"/>
        </w:rPr>
        <w:t>Может существовать годами.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03"/>
        <w:gridCol w:w="2059"/>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203"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59"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А08.07.001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Цитологическое исследование препарата тканей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 -дерматовенеролога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 -профпатолога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гастроэнтеролога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B04.023.002</w:t>
            </w:r>
          </w:p>
        </w:tc>
        <w:tc>
          <w:tcPr>
            <w:tcW w:w="620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невролога</w:t>
            </w:r>
          </w:p>
        </w:tc>
        <w:tc>
          <w:tcPr>
            <w:tcW w:w="205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люминесцентное исследование, ОКТ пораженной области (приложение 7).</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голубое свечение участка поражения.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 явления паракератоза и гиперкератоза, слабо выраженный акантоз.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 изображение слоистое, дифференцируются два горизонтально ориентированных слоя. Нижний слой ярче верхнего; граница между слоями контрастная, ровная и непрерывная; верхняя граница изображения ровная; верхний слой неоднородный, соответствует многослойному плоскому эпителию; яркость выше, чем в норме, поверхность особенно яркая; высота увеличена по сравнению с нормой; нижний слой неоднородный, высокой яркости, соответствует соединительно-тканной строме; глубина информативного изображения в большинстве областей более 1,5 мм.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5984"/>
        <w:gridCol w:w="1869"/>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598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6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A13.30.007</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полости рта</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A16.07.051</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полости рта и зубов</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A16.07.025</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A22.30.013</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новообразованиях мягких тканей</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A22.08.012</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Фотодинамическая терапия при злокачественных новообразованиях рта</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59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6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598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6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7.1.6.1.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7.1.6.2.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один из современных методов лечения плоской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7.1.6.3.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очага поражения данного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ведения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15"/>
        <w:gridCol w:w="1084"/>
        <w:gridCol w:w="2344"/>
        <w:gridCol w:w="2102"/>
        <w:gridCol w:w="2293"/>
      </w:tblGrid>
      <w:tr>
        <w:trPr/>
        <w:tc>
          <w:tcPr>
            <w:tcW w:w="181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w:t>
            </w:r>
          </w:p>
        </w:tc>
        <w:tc>
          <w:tcPr>
            <w:tcW w:w="234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0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293"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1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15%</w:t>
            </w:r>
          </w:p>
        </w:tc>
        <w:tc>
          <w:tcPr>
            <w:tcW w:w="23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9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81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60%</w:t>
            </w:r>
          </w:p>
        </w:tc>
        <w:tc>
          <w:tcPr>
            <w:tcW w:w="23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9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81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29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1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w:t>
            </w:r>
          </w:p>
        </w:tc>
        <w:tc>
          <w:tcPr>
            <w:tcW w:w="234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форму</w:t>
            </w:r>
          </w:p>
        </w:tc>
        <w:tc>
          <w:tcPr>
            <w:tcW w:w="210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29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лейкоплакия идиопатическая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веррукозная бляшечная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К13.20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Основной морфологический элемент бляшка, перламутрово-белого или мелоподобного цвета с четкими зазубренными или размытыми границами.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Элемент незначительно возвышается над уровнем СОР.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Наиболее частая локализация - слизистая оболочка языка, углы рта, эпителий альвеолярного отростка.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Имеет шероховатую поверхность, напоминающую омозоленность.</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Гистологически определяется мощный гиперкератоз, редко сочетающийся с паракератозом, гранулез, минимальный акантоз и небольшая инфильтрация стромы.</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При люминесцентном исследовании мало интенсивное свечение с желтоватым оттенком с переходом в фиолетовый.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7. </w:t>
      </w:r>
      <w:r>
        <w:rPr>
          <w:rFonts w:ascii="ALSStory;Arial" w:hAnsi="ALSStory;Arial"/>
          <w:b w:val="false"/>
          <w:i w:val="false"/>
          <w:caps w:val="false"/>
          <w:smallCaps w:val="false"/>
          <w:color w:val="000000"/>
          <w:spacing w:val="0"/>
          <w:sz w:val="21"/>
        </w:rPr>
        <w:t>При ОКТ – исследовании (оптическая когерентная томография) изображение слоистое, визуализируются три горизонтально ориентированных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7.2.3. Требования к диагностике амбулаторно-поликлинической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tbl>
      <w:tblPr>
        <w:tblW w:w="9638" w:type="dxa"/>
        <w:jc w:val="left"/>
        <w:tblInd w:w="-7" w:type="dxa"/>
        <w:tblLayout w:type="fixed"/>
        <w:tblCellMar>
          <w:top w:w="75" w:type="dxa"/>
          <w:left w:w="75" w:type="dxa"/>
          <w:bottom w:w="75" w:type="dxa"/>
          <w:right w:w="75" w:type="dxa"/>
        </w:tblCellMar>
      </w:tblPr>
      <w:tblGrid>
        <w:gridCol w:w="1376"/>
        <w:gridCol w:w="6187"/>
        <w:gridCol w:w="2075"/>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187"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7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А03.07.001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Люминесцентная стоматоскопия</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А08.07.001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Цитологическое исследование препарата тканей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A26.06.048</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антител классов M, G (IgM, IgG) к вирусу</w:t>
              <w:br/>
              <w:t>иммунодефицита человека ВИЧ-1 (Human immunodeficiency virus HIV 1) в крови</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18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7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18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 гастроэнтеролога</w:t>
            </w:r>
          </w:p>
        </w:tc>
        <w:tc>
          <w:tcPr>
            <w:tcW w:w="207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br w:type="textWrapping" w:clear="all"/>
      </w: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люминисцентное исследование, ОКТ пораженной области (приложение 7).</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свечение с желтоватым оттенком с переходом в фиолетовый.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 мощный гиперкератоз, редко сочетающийся с паракератозом, гранулез, минимальный акантоз и небольшая инфильтрация стромы.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 метод изображение слоистое, дифференцируются три горизонтально ориентированных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полости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очага поражения данного заболевания, получившим широкое применение в стоматологической практике при заболеваниях СОР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данной формы лейкоплакии, практически вытеснив метод электрокоагуляции, является лазерная абляция. При лазерном воздействии в тканях возникают изменения, подобные электрокоагуляционному некрозу.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Большая плотность излучения, строгая направленность, возможность фокусировки пучка позволяют использовать лазеры (оптические квантовые генераторы) для хирургического лечения предракового состояния.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60"/>
        <w:gridCol w:w="1155"/>
        <w:gridCol w:w="2338"/>
        <w:gridCol w:w="2097"/>
        <w:gridCol w:w="2288"/>
      </w:tblGrid>
      <w:tr>
        <w:trPr/>
        <w:tc>
          <w:tcPr>
            <w:tcW w:w="1760"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15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33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097"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28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60"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15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33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60"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15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15%</w:t>
            </w:r>
          </w:p>
        </w:tc>
        <w:tc>
          <w:tcPr>
            <w:tcW w:w="233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60"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15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3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2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60"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5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30%</w:t>
            </w:r>
          </w:p>
        </w:tc>
        <w:tc>
          <w:tcPr>
            <w:tcW w:w="233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форму</w:t>
            </w:r>
          </w:p>
        </w:tc>
        <w:tc>
          <w:tcPr>
            <w:tcW w:w="209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28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лейкоплакия идиопатическая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веррукозная бородавчатая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К13.20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w:t>
      </w:r>
      <w:r>
        <w:rPr>
          <w:rFonts w:ascii="ALSStory;Arial" w:hAnsi="ALSStory;Arial"/>
          <w:b w:val="false"/>
          <w:i w:val="false"/>
          <w:caps w:val="false"/>
          <w:smallCaps w:val="false"/>
          <w:color w:val="000000"/>
          <w:spacing w:val="0"/>
          <w:sz w:val="21"/>
        </w:rPr>
        <w:t> Основной морфологический элемент множественные сгруппированные бляшки. Очаг поражения в виде плотных бугристых образований или бородавчатых разрастаний (вследствие папилломатозно-экзофитной или папилломатозно-эндофитной формы роста) типа бородавки, с широким основанием, безболезненных, не спаянных с подлежащей слизистой оболочкой. </w:t>
      </w: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Элемент резко возвышается над уровнем нормальной СОР.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Поверхность шершавая на ощупь.</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При люминисцентном исследовании - фиолетовое свечение участка поражения.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Гистологически обнаруживается гиперкератоз или перемежающийся тип ороговения, мощный акантоз с удлинением и утолщением эпителиальных отростков, иногда с явлениями дискомплексации клеток.</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w:t>
      </w:r>
      <w:r>
        <w:rPr>
          <w:rFonts w:ascii="ALSStory;Arial" w:hAnsi="ALSStory;Arial"/>
          <w:b w:val="false"/>
          <w:i w:val="false"/>
          <w:caps w:val="false"/>
          <w:smallCaps w:val="false"/>
          <w:color w:val="000000"/>
          <w:spacing w:val="0"/>
          <w:sz w:val="21"/>
        </w:rPr>
        <w:t>. При иммунно-гистохимическом исследовании могут выявляться клетки с повышенной митотической активностью, свидетельствующие о возможной малигнизации.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7. </w:t>
      </w:r>
      <w:r>
        <w:rPr>
          <w:rFonts w:ascii="ALSStory;Arial" w:hAnsi="ALSStory;Arial"/>
          <w:b w:val="false"/>
          <w:i w:val="false"/>
          <w:caps w:val="false"/>
          <w:smallCaps w:val="false"/>
          <w:color w:val="000000"/>
          <w:spacing w:val="0"/>
          <w:sz w:val="21"/>
        </w:rPr>
        <w:t>Электронно-микроскопическое исследование указывает на истончение базальной мембраны и признаки значительного омоложения клеток шиповатого и базального слоев эпителиального пласта.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8. </w:t>
      </w:r>
      <w:r>
        <w:rPr>
          <w:rFonts w:ascii="ALSStory;Arial" w:hAnsi="ALSStory;Arial"/>
          <w:b w:val="false"/>
          <w:i w:val="false"/>
          <w:caps w:val="false"/>
          <w:smallCaps w:val="false"/>
          <w:color w:val="000000"/>
          <w:spacing w:val="0"/>
          <w:sz w:val="21"/>
        </w:rPr>
        <w:t>Наиболее частая локализация: слизистая оболочка щек по линии смыкания зубов, углы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9.</w:t>
      </w:r>
      <w:r>
        <w:rPr>
          <w:rFonts w:ascii="ALSStory;Arial" w:hAnsi="ALSStory;Arial"/>
          <w:b w:val="false"/>
          <w:i w:val="false"/>
          <w:caps w:val="false"/>
          <w:smallCaps w:val="false"/>
          <w:color w:val="000000"/>
          <w:spacing w:val="0"/>
          <w:sz w:val="21"/>
        </w:rPr>
        <w:t> Склонность к рецидивам.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367"/>
        <w:gridCol w:w="1895"/>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67"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189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A08.30.013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Иммуногистохимическое исследование материала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A09.07.001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Цитологическое исследование отделяемого полости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A26.06.048</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антител классов M, G (IgM, IgG) к вирусу иммунодефицита человека ВИЧ-1 (Human immunodeficiency virus HIV 1) в крови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B03.027.003</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Комплекс исследований для диагностики злокачественных новообразований органов рта и ротоглотки</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36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189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6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189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люминисцентное, гистологическое, иммуногистохимическое, электронно-микроскопическое исследование, ОКТ пораженной области (приложение 7).</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фиолетовое свечение участка поражения.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 паракератоз или перемежающийся тип ороговения, мощный акантоз с удлинением и утолщением эпителиальных отростков, тяжи могут прорастать в подлежащую соединительную ткань.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Признаки дисплазии отсутствуют.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Иммуногистохимическое исследование – могут выявляться клетки с повышенной митотической активностью, свидетельствующие о возможной малигнизации.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Электронно-микроскопическое исследование – истончение базальной мембраны и признаки значительного омоложения клеток шиповатого и базального слоев эпителиального пласта.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A22.30.013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новообразованиях мягких тканей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A22.08.012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Фотодинамическая терапия при злокачественных новообразованиях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систематически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данного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данной лейкоплакии, практически вытеснив метод электрокоагуляции, является лазерная абляция. При лазерном воздействии в тканях возникают изменения, подобные электрокоагуляционному некрозу.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Большая плотность излучения, строгая направленность, возможность фокусировки пучка позволяют использовать лазеры (оптические квантовые генераторы) для хирургического лечения предракового состояния.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7.3.7. Требования к лекарственной помощи амбулаторно-поликлинической</w:t>
      </w:r>
    </w:p>
    <w:tbl>
      <w:tblPr>
        <w:tblW w:w="8025" w:type="dxa"/>
        <w:jc w:val="left"/>
        <w:tblInd w:w="-7" w:type="dxa"/>
        <w:tblLayout w:type="fixed"/>
        <w:tblCellMar>
          <w:top w:w="75" w:type="dxa"/>
          <w:left w:w="75" w:type="dxa"/>
          <w:bottom w:w="75" w:type="dxa"/>
          <w:right w:w="75" w:type="dxa"/>
        </w:tblCellMar>
      </w:tblPr>
      <w:tblGrid>
        <w:gridCol w:w="3514"/>
        <w:gridCol w:w="4511"/>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Наименование группы</w:t>
            </w:r>
          </w:p>
        </w:tc>
        <w:tc>
          <w:tcPr>
            <w:tcW w:w="451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51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51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51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51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51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51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56"/>
        <w:gridCol w:w="1089"/>
        <w:gridCol w:w="2368"/>
        <w:gridCol w:w="2117"/>
        <w:gridCol w:w="2308"/>
      </w:tblGrid>
      <w:tr>
        <w:trPr/>
        <w:tc>
          <w:tcPr>
            <w:tcW w:w="1756"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36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17"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0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5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8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36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5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08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15</w:t>
            </w:r>
          </w:p>
        </w:tc>
        <w:tc>
          <w:tcPr>
            <w:tcW w:w="236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5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6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0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5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30%</w:t>
            </w:r>
          </w:p>
        </w:tc>
        <w:tc>
          <w:tcPr>
            <w:tcW w:w="236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форму</w:t>
            </w:r>
          </w:p>
        </w:tc>
        <w:tc>
          <w:tcPr>
            <w:tcW w:w="211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30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лейкоплакия идиопатическая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эрозивно-язвенная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К13.20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Жалобы на самопроизвольные боли, усиливающиеся от действия всех видов раздражителей.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Наличие эрозии или язвы в очаге поражения, не склонной к заживлению.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Поверхность очага шершавая на ощупь.</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Гистологически - выраженный гиперкератоз и паракератоз, нарушение целостности СОР в виде поражения базальной мембраны, иногда даже с ее прорывом и признаками клеточной воспалительной реакции. Инфильтрация стромы данной формы достигает максимума. Явление дискомплексации клеток.</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При люминисцентном исследовании наблюдается коричневое свечение участка поражения.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22"/>
        <w:gridCol w:w="2040"/>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22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4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А03.07.001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Люминисцентная стоматоскопия</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A08.30.013</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Иммуногистохимическое исследование материала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A09.07.001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Цитологическое исследование отделяемого полости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2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4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B03.027.003</w:t>
            </w:r>
          </w:p>
        </w:tc>
        <w:tc>
          <w:tcPr>
            <w:tcW w:w="622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Комплекс исследований для диагностики злокачественных новообразований органов рта и ротоглотки</w:t>
            </w:r>
          </w:p>
        </w:tc>
        <w:tc>
          <w:tcPr>
            <w:tcW w:w="204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и возможности приступить к лечению.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люминисцентное, гистологическое, иммуногистохимическое (приложение 7).</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коричневое свечение участка поражения.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 гиперкератоз и нарушение целостности СОР в виде поражения базальной мембраны, иногда даже с ее прорывом и признаками клеточной воспалительной реакции. Инфильтрация стромы данной формы достигает максимума. Явление дискомплексации клеток.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Иммуногистохимическое исследование – могут выявляться клетки с повышенной митотической активностью, свидетельствующие о возможной малигнизации.</w:t>
      </w:r>
    </w:p>
    <w:p>
      <w:pPr>
        <w:pStyle w:val="Style20"/>
        <w:widowControl/>
        <w:bidi w:val="0"/>
        <w:spacing w:before="0" w:after="283"/>
        <w:ind w:left="0" w:right="0" w:hanging="0"/>
        <w:jc w:val="left"/>
        <w:rPr/>
      </w:pPr>
      <w:r>
        <w:rPr>
          <w:rStyle w:val="Style11"/>
          <w:b w:val="false"/>
          <w:i w:val="false"/>
          <w:caps w:val="false"/>
          <w:smallCaps w:val="false"/>
          <w:color w:val="000000"/>
          <w:spacing w:val="0"/>
          <w:sz w:val="21"/>
        </w:rPr>
        <w:t>7.4.5.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A22.30.013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новообразованиях мягких тканей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A22.08.012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Фотодинамическая терапия при злокачественных новообразованиях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данного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данной формы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7.4.12. Форма информированного добровольного согласия пациента при выполнении Протокола</w:t>
      </w:r>
      <w:r>
        <w:rPr>
          <w:rFonts w:ascii="ALSStory;Arial" w:hAnsi="ALSStory;Arial"/>
          <w:b w:val="false"/>
          <w:i w:val="false"/>
          <w:caps w:val="false"/>
          <w:smallCaps w:val="false"/>
          <w:color w:val="000000"/>
          <w:spacing w:val="0"/>
          <w:sz w:val="21"/>
        </w:rPr>
        <w:t> (приложение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7.4.13. Дополнительная информация для пациента и членов его семьи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01"/>
        <w:gridCol w:w="1097"/>
        <w:gridCol w:w="2229"/>
        <w:gridCol w:w="2162"/>
        <w:gridCol w:w="2349"/>
      </w:tblGrid>
      <w:tr>
        <w:trPr/>
        <w:tc>
          <w:tcPr>
            <w:tcW w:w="1801"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97"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22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6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4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0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4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80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10%</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4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80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9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4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01"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9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50%</w:t>
            </w:r>
          </w:p>
        </w:tc>
        <w:tc>
          <w:tcPr>
            <w:tcW w:w="222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Рецидив заболевания</w:t>
            </w:r>
          </w:p>
        </w:tc>
        <w:tc>
          <w:tcPr>
            <w:tcW w:w="216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34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7.4.16.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лейкоплакия, связанная с употреблением табака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любая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К13.21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Основной морфологический элемент белесоватое пятно с наличием мелких красных точек (наблюдаются зияющие устья выводных протоков малых слюнных желез в задней части твердого неба и примыкающего к нему мягкого неба). Слизистая оболочка твердого неба белесоватого или серо-белого цвета без выраженного гиперкератоза.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Поверхность гладкая, не блестящая.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Гистологически - паракератоз с незначительным гиперкератозом.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Локализация: поражается слизистая оболочка твердого неба, спинка языка, губ, дна рта у злостных курильщиков, а также процесс повышенной кератинизации распространяется на слизистую оболочку щек и альвеолярного отростка с формированием очагов в передних отделах в виде треугольника, расположенного основанием к углу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Исчезает при прекращении курения.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03"/>
        <w:gridCol w:w="2059"/>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203"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59"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20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 гастроэнтеролога</w:t>
            </w:r>
          </w:p>
        </w:tc>
        <w:tc>
          <w:tcPr>
            <w:tcW w:w="205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w:t>
      </w:r>
      <w:r>
        <w:rPr>
          <w:rStyle w:val="Style11"/>
          <w:rFonts w:ascii="ALSStory;Arial" w:hAnsi="ALSStory;Arial"/>
          <w:b w:val="false"/>
          <w:i w:val="false"/>
          <w:caps w:val="false"/>
          <w:smallCaps w:val="false"/>
          <w:color w:val="000000"/>
          <w:spacing w:val="0"/>
          <w:sz w:val="21"/>
        </w:rPr>
        <w:t>и их лекарственное сопровождение, наличие профессиональных вредностей. </w:t>
      </w:r>
      <w:r>
        <w:rPr>
          <w:rFonts w:ascii="ALSStory;Arial" w:hAnsi="ALSStory;Arial"/>
          <w:b w:val="false"/>
          <w:i w:val="false"/>
          <w:caps w:val="false"/>
          <w:smallCaps w:val="false"/>
          <w:color w:val="000000"/>
          <w:spacing w:val="0"/>
          <w:sz w:val="21"/>
        </w:rPr>
        <w:t>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исследование (приложение 7), при котором выявляется незначительный паракератоз без признаков гиперкератоза.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244"/>
        <w:gridCol w:w="1609"/>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24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60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A22.30.013</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новообразованиях мягких тканей</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24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60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24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60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Полный отказ от курения – залог успешного лечения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55"/>
        <w:gridCol w:w="1147"/>
        <w:gridCol w:w="2374"/>
        <w:gridCol w:w="2084"/>
        <w:gridCol w:w="2278"/>
      </w:tblGrid>
      <w:tr>
        <w:trPr/>
        <w:tc>
          <w:tcPr>
            <w:tcW w:w="175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147" w:type="dxa"/>
            <w:tcBorders>
              <w:top w:val="single" w:sz="6" w:space="0" w:color="808080"/>
              <w:left w:val="single" w:sz="2"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Часто-та разви-тия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w:t>
            </w:r>
          </w:p>
        </w:tc>
        <w:tc>
          <w:tcPr>
            <w:tcW w:w="237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08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27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5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1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7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7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5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1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55%</w:t>
            </w:r>
          </w:p>
        </w:tc>
        <w:tc>
          <w:tcPr>
            <w:tcW w:w="237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27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5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1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7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08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27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5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4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w:t>
            </w:r>
          </w:p>
        </w:tc>
        <w:tc>
          <w:tcPr>
            <w:tcW w:w="237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кандидозную формы, озлокачествление</w:t>
            </w:r>
          </w:p>
        </w:tc>
        <w:tc>
          <w:tcPr>
            <w:tcW w:w="208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27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7.5.16.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bidi w:val="0"/>
        <w:jc w:val="left"/>
        <w:rPr>
          <w:color w:val="000000"/>
        </w:rPr>
      </w:pPr>
      <w:r>
        <w:rPr>
          <w:color w:val="000000"/>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 </w:t>
      </w:r>
      <w:r>
        <w:rPr>
          <w:rFonts w:ascii="ALSStory;Arial" w:hAnsi="ALSStory;Arial"/>
          <w:b w:val="false"/>
          <w:i w:val="false"/>
          <w:caps w:val="false"/>
          <w:smallCaps w:val="false"/>
          <w:color w:val="000000"/>
          <w:spacing w:val="0"/>
          <w:sz w:val="21"/>
        </w:rPr>
        <w:t>кандидозная лейкоплакия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любая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В37.02</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w:t>
      </w:r>
      <w:r>
        <w:rPr>
          <w:rFonts w:ascii="ALSStory;Arial" w:hAnsi="ALSStory;Arial"/>
          <w:b w:val="false"/>
          <w:i w:val="false"/>
          <w:caps w:val="false"/>
          <w:smallCaps w:val="false"/>
          <w:color w:val="000000"/>
          <w:spacing w:val="0"/>
          <w:sz w:val="21"/>
        </w:rPr>
        <w:t>В анамнезе длительный прием антибиотиков, глюкокортикостероидов, цитостатиков, иммунодепрессантов, наличие иммунодефицитной системной патологии.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Налет расположен на поверхности бляшки, частично снимается при соскабливании.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В соскобе при микробиологическом исследовании обнаруживают грибы рода </w:t>
      </w:r>
      <w:r>
        <w:rPr>
          <w:rStyle w:val="Style12"/>
          <w:rFonts w:ascii="ALSStory;Arial" w:hAnsi="ALSStory;Arial"/>
          <w:b w:val="false"/>
          <w:i w:val="false"/>
          <w:caps w:val="false"/>
          <w:smallCaps w:val="false"/>
          <w:color w:val="000000"/>
          <w:spacing w:val="0"/>
          <w:sz w:val="21"/>
        </w:rPr>
        <w:t>Candida</w:t>
      </w:r>
      <w:r>
        <w:rPr>
          <w:rFonts w:ascii="ALSStory;Arial" w:hAnsi="ALSStory;Arial"/>
          <w:b w:val="false"/>
          <w:i w:val="false"/>
          <w:caps w:val="false"/>
          <w:smallCaps w:val="false"/>
          <w:color w:val="000000"/>
          <w:spacing w:val="0"/>
          <w:sz w:val="21"/>
        </w:rPr>
        <w:t>, особенно при наличии участков хронического воспаления. Инфекция, вызванная </w:t>
      </w:r>
      <w:r>
        <w:rPr>
          <w:rStyle w:val="Style12"/>
          <w:rFonts w:ascii="ALSStory;Arial" w:hAnsi="ALSStory;Arial"/>
          <w:b w:val="false"/>
          <w:i w:val="false"/>
          <w:caps w:val="false"/>
          <w:smallCaps w:val="false"/>
          <w:color w:val="000000"/>
          <w:spacing w:val="0"/>
          <w:sz w:val="21"/>
        </w:rPr>
        <w:t>Candida</w:t>
      </w:r>
      <w:r>
        <w:rPr>
          <w:rFonts w:ascii="ALSStory;Arial" w:hAnsi="ALSStory;Arial"/>
          <w:b w:val="false"/>
          <w:i w:val="false"/>
          <w:caps w:val="false"/>
          <w:smallCaps w:val="false"/>
          <w:color w:val="000000"/>
          <w:spacing w:val="0"/>
          <w:sz w:val="21"/>
        </w:rPr>
        <w:t> </w:t>
      </w:r>
      <w:r>
        <w:rPr>
          <w:rStyle w:val="Style12"/>
          <w:rFonts w:ascii="ALSStory;Arial" w:hAnsi="ALSStory;Arial"/>
          <w:b w:val="false"/>
          <w:i w:val="false"/>
          <w:caps w:val="false"/>
          <w:smallCaps w:val="false"/>
          <w:color w:val="000000"/>
          <w:spacing w:val="0"/>
          <w:sz w:val="21"/>
        </w:rPr>
        <w:t>albicans</w:t>
      </w:r>
      <w:r>
        <w:rPr>
          <w:rFonts w:ascii="ALSStory;Arial" w:hAnsi="ALSStory;Arial"/>
          <w:b w:val="false"/>
          <w:i w:val="false"/>
          <w:caps w:val="false"/>
          <w:smallCaps w:val="false"/>
          <w:color w:val="000000"/>
          <w:spacing w:val="0"/>
          <w:sz w:val="21"/>
        </w:rPr>
        <w:t>, способствует развитию диспластических изменений в эпителии.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При микробиологическом посеве выявляется значительный рост грибов рода </w:t>
      </w:r>
      <w:r>
        <w:rPr>
          <w:rStyle w:val="Style12"/>
          <w:rFonts w:ascii="ALSStory;Arial" w:hAnsi="ALSStory;Arial"/>
          <w:b w:val="false"/>
          <w:i w:val="false"/>
          <w:caps w:val="false"/>
          <w:smallCaps w:val="false"/>
          <w:color w:val="000000"/>
          <w:spacing w:val="0"/>
          <w:sz w:val="21"/>
        </w:rPr>
        <w:t>Candida</w:t>
      </w:r>
      <w:r>
        <w:rPr>
          <w:rFonts w:ascii="ALSStory;Arial" w:hAnsi="ALSStory;Arial"/>
          <w:b w:val="false"/>
          <w:i w:val="false"/>
          <w:caps w:val="false"/>
          <w:smallCaps w:val="false"/>
          <w:color w:val="000000"/>
          <w:spacing w:val="0"/>
          <w:sz w:val="21"/>
        </w:rPr>
        <w:t> при подсчете колоний на питательной среде.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w:t>
      </w:r>
      <w:r>
        <w:rPr>
          <w:rFonts w:ascii="ALSStory;Arial" w:hAnsi="ALSStory;Arial"/>
          <w:b w:val="false"/>
          <w:i w:val="false"/>
          <w:caps w:val="false"/>
          <w:smallCaps w:val="false"/>
          <w:color w:val="000000"/>
          <w:spacing w:val="0"/>
          <w:sz w:val="21"/>
        </w:rPr>
        <w:t> Гистологически - паракератоз и гиперкератоз.</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352"/>
        <w:gridCol w:w="1910"/>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5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191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A26.02.004</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Микологическое исследование раневого отделяемого на</w:t>
              <w:br/>
              <w:t>грибы рода кандида (Candida spp.)</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A26.06.048</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антител классов M, G (IgM, IgG) к вирусу иммунодефицита человека ВИЧ-1 (Human immunodeficiency virus HIV 1) в крови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35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гастроэнтеролога</w:t>
            </w:r>
          </w:p>
        </w:tc>
        <w:tc>
          <w:tcPr>
            <w:tcW w:w="191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их лекарственное сопровождение.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и микробиологическое исследование (приложение 7).</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A22.30.013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новообразованиях мягких тканей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Противогрибковые препараты</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Назначение противогрибковых препаратов внутрь и местно.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72"/>
        <w:gridCol w:w="1081"/>
        <w:gridCol w:w="2366"/>
        <w:gridCol w:w="2114"/>
        <w:gridCol w:w="2305"/>
      </w:tblGrid>
      <w:tr>
        <w:trPr/>
        <w:tc>
          <w:tcPr>
            <w:tcW w:w="1772"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1" w:type="dxa"/>
            <w:tcBorders>
              <w:top w:val="single" w:sz="6" w:space="0" w:color="808080"/>
              <w:left w:val="single" w:sz="2"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Часто-та развития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w:t>
            </w:r>
          </w:p>
        </w:tc>
        <w:tc>
          <w:tcPr>
            <w:tcW w:w="236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1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0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7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8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50%</w:t>
            </w:r>
          </w:p>
        </w:tc>
        <w:tc>
          <w:tcPr>
            <w:tcW w:w="236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7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08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6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7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6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0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72"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10%</w:t>
            </w:r>
          </w:p>
        </w:tc>
        <w:tc>
          <w:tcPr>
            <w:tcW w:w="236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форму</w:t>
            </w:r>
          </w:p>
        </w:tc>
        <w:tc>
          <w:tcPr>
            <w:tcW w:w="211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30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7.6.16.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 </w:t>
      </w:r>
      <w:r>
        <w:rPr>
          <w:rFonts w:ascii="ALSStory;Arial" w:hAnsi="ALSStory;Arial"/>
          <w:b w:val="false"/>
          <w:i w:val="false"/>
          <w:caps w:val="false"/>
          <w:smallCaps w:val="false"/>
          <w:color w:val="000000"/>
          <w:spacing w:val="0"/>
          <w:sz w:val="21"/>
        </w:rPr>
        <w:t>волосатая лейкоплакия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любая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K13.3</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w:t>
      </w:r>
      <w:r>
        <w:rPr>
          <w:rFonts w:ascii="ALSStory;Arial" w:hAnsi="ALSStory;Arial"/>
          <w:b w:val="false"/>
          <w:i w:val="false"/>
          <w:caps w:val="false"/>
          <w:smallCaps w:val="false"/>
          <w:color w:val="000000"/>
          <w:spacing w:val="0"/>
          <w:sz w:val="21"/>
        </w:rPr>
        <w:t> Вызывается вирусом Эпштейн-Барра (EBV) у лиц с выраженным нарушением иммунной системы, у ВИЧ - инфицированных и на фоне приема иммуносупрессивных препаратов при пересадке органов.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w:t>
      </w:r>
      <w:r>
        <w:rPr>
          <w:rFonts w:ascii="ALSStory;Arial" w:hAnsi="ALSStory;Arial"/>
          <w:b w:val="false"/>
          <w:i w:val="false"/>
          <w:caps w:val="false"/>
          <w:smallCaps w:val="false"/>
          <w:color w:val="000000"/>
          <w:spacing w:val="0"/>
          <w:sz w:val="21"/>
        </w:rPr>
        <w:t> Элемент поражения - бляшка продольной, узкой формы размером до 2-3 см в длину с преимущественной локализацией на границе перехода с боковой поверхности языка на нижнюю. Участки серовато-белого цвета, при усилении ороговения приобретают опалово-белый цвет. Границы очага поражения не всегда четкие.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Участки ороговения могут быть возвышенными или на уровне СОР.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w:t>
      </w:r>
      <w:r>
        <w:rPr>
          <w:rFonts w:ascii="ALSStory;Arial" w:hAnsi="ALSStory;Arial"/>
          <w:b w:val="false"/>
          <w:i w:val="false"/>
          <w:caps w:val="false"/>
          <w:smallCaps w:val="false"/>
          <w:color w:val="000000"/>
          <w:spacing w:val="0"/>
          <w:sz w:val="21"/>
        </w:rPr>
        <w:t> Поверхность гладкая, в редких случаях шероховатая, не отслаивающееся мягкое утолщение слизистой оболочки на краю языка в средней или задней его трети. При наличии СПИДа может быть идущее вертикально сбоку языка рифление (по типу «стиральной доски») с наличием параллельно друг другу расположенных мелких волосистых папиллом. У больных ВИЧ (СПИД) бляшки представлены мелкими вертикально ориентированными, расположенными на боковой поверхности языка параллельно друг другу волосистыми папилломами, напоминающими рифление стиральной доски. Может спонтанно исчезать на фоне приема антиретровирусных препаратов.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w:t>
      </w:r>
      <w:r>
        <w:rPr>
          <w:rFonts w:ascii="ALSStory;Arial" w:hAnsi="ALSStory;Arial"/>
          <w:b w:val="false"/>
          <w:i w:val="false"/>
          <w:caps w:val="false"/>
          <w:smallCaps w:val="false"/>
          <w:color w:val="000000"/>
          <w:spacing w:val="0"/>
          <w:sz w:val="21"/>
        </w:rPr>
        <w:t> При гистологическом исследовании обнаруживают гиперкератоз, паракератоз, акантоз, вакуоли в клетках верхнего эпителиального слоя, нитеподобные кератиновые образования, блюдцеобразные клетки (как показатель вирусной инфекции). Вследствии очаговой пролиферации эпителия слизистая оболочка утолщается.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w:t>
      </w:r>
      <w:r>
        <w:rPr>
          <w:rFonts w:ascii="ALSStory;Arial" w:hAnsi="ALSStory;Arial"/>
          <w:b w:val="false"/>
          <w:i w:val="false"/>
          <w:caps w:val="false"/>
          <w:smallCaps w:val="false"/>
          <w:color w:val="000000"/>
          <w:spacing w:val="0"/>
          <w:sz w:val="21"/>
        </w:rPr>
        <w:t>. У 83% ВИЧ - инфицированных пациентов с волосатой лейкоплакией рта в течение определенного времени развивается полная картина СПИДа.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352"/>
        <w:gridCol w:w="1910"/>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5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191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A26.06.048</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антител классов M, G (IgM, IgG) к вирусу иммунодефицита человека ВИЧ-1 (Human immunodeficiency virus HIV 1) в крови</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B01.014.001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врача-инфекциониста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19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B03.027.003</w:t>
            </w:r>
          </w:p>
        </w:tc>
        <w:tc>
          <w:tcPr>
            <w:tcW w:w="635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Комплекс исследований для диагностики злокачественных новообразований органов рта и ротоглотки</w:t>
            </w:r>
          </w:p>
        </w:tc>
        <w:tc>
          <w:tcPr>
            <w:tcW w:w="191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и их лекарственное сопровождение. Выясняют наличие иммунодефицита, стадию ВИЧ (СПИД), пути инфицирования, назначение и тип антиретровирусной терапии; длительность и схемы назначения иммунодепрессантов.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лабораторные методы исследования крови на ВИЧ- инфекцию и гистологическое исследование (приложение 7).</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A14.07.004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Контролируемая чистка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А16.07.020</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A22.08.011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злокачественных новообразованиях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во рту,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Перед назначением средств общего воздействия больному необходимо проконсультироваться с врачом-инфекционистом, гастроэнтерологом, дерматологом, эндокринологом, онкологом, терапевтом по показаниям.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7.7.13. Дополнительная информация для пациента и членов его семьи</w:t>
      </w: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7</w:t>
      </w:r>
      <w:r>
        <w:rPr>
          <w:rStyle w:val="Style11"/>
          <w:rFonts w:ascii="ALSStory;Arial" w:hAnsi="ALSStory;Arial"/>
          <w:b w:val="false"/>
          <w:i w:val="false"/>
          <w:caps w:val="false"/>
          <w:smallCaps w:val="false"/>
          <w:color w:val="000000"/>
          <w:spacing w:val="0"/>
          <w:sz w:val="21"/>
        </w:rPr>
        <w:t>.7.15.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91"/>
        <w:gridCol w:w="1164"/>
        <w:gridCol w:w="2202"/>
        <w:gridCol w:w="2146"/>
        <w:gridCol w:w="2335"/>
      </w:tblGrid>
      <w:tr>
        <w:trPr/>
        <w:tc>
          <w:tcPr>
            <w:tcW w:w="1791"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16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20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4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3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9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16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50%</w:t>
            </w:r>
          </w:p>
        </w:tc>
        <w:tc>
          <w:tcPr>
            <w:tcW w:w="22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4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3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9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16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0</w:t>
            </w:r>
          </w:p>
        </w:tc>
        <w:tc>
          <w:tcPr>
            <w:tcW w:w="22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4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3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9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16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49%</w:t>
            </w:r>
          </w:p>
        </w:tc>
        <w:tc>
          <w:tcPr>
            <w:tcW w:w="220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4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3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91"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6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c>
          <w:tcPr>
            <w:tcW w:w="220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Рецидив заболевания</w:t>
            </w:r>
          </w:p>
        </w:tc>
        <w:tc>
          <w:tcPr>
            <w:tcW w:w="214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33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7.7.16.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bidi w:val="0"/>
        <w:jc w:val="left"/>
        <w:rPr>
          <w:color w:val="000000"/>
        </w:rPr>
      </w:pPr>
      <w:r>
        <w:rPr>
          <w:color w:val="000000"/>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 </w:t>
      </w:r>
      <w:r>
        <w:rPr>
          <w:rFonts w:ascii="ALSStory;Arial" w:hAnsi="ALSStory;Arial"/>
          <w:b w:val="false"/>
          <w:i w:val="false"/>
          <w:caps w:val="false"/>
          <w:smallCaps w:val="false"/>
          <w:color w:val="000000"/>
          <w:spacing w:val="0"/>
          <w:sz w:val="21"/>
        </w:rPr>
        <w:t>Небо курильщика [никотиновый лейкокератоз неба] [никотиновый стоматит];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любая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K13.24</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Основной морфологический элемент белесоватое пятно с наличием мелких красных точек (наблюдаются зияющие устья выводных протоков малых слюнных желез в задней части твердого неба и примыкающего к нему мягкого неба). Слизистая оболочка твердого неба белесоватого или серо-белого цвета без выраженного гиперкератоза.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Поверхность гладкая, не блестящая.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Гистологически - паракератоз с незначительными явлениями гиперкератоза.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Локализация: поражается слизистая оболочка твердого с переходом на мягкоге небо.</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Возможно исчезновение при прекращении курения.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03"/>
        <w:gridCol w:w="2059"/>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203"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59"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2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20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 врача-гастроэнтеролога</w:t>
            </w:r>
          </w:p>
        </w:tc>
        <w:tc>
          <w:tcPr>
            <w:tcW w:w="205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(приложение 7).</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A22.08.011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хирургия при злокачественных новообразованиях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A22.07.003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Лазерная физиотерапия челюстно-лицевой области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B01.054.001</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7.8.6.2.Хирургическое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заболевания, получившим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Витаминотерапия</w:t>
            </w:r>
          </w:p>
          <w:p>
            <w:pPr>
              <w:pStyle w:val="Style18"/>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Иммуномодуляторы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Обезболивающие средства</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Полный отказ от курения – залог успешного лечения лейкоплакии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71"/>
        <w:gridCol w:w="1088"/>
        <w:gridCol w:w="2362"/>
        <w:gridCol w:w="2113"/>
        <w:gridCol w:w="2304"/>
      </w:tblGrid>
      <w:tr>
        <w:trPr/>
        <w:tc>
          <w:tcPr>
            <w:tcW w:w="1771"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8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36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113"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0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7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18%</w:t>
            </w:r>
          </w:p>
        </w:tc>
        <w:tc>
          <w:tcPr>
            <w:tcW w:w="23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11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77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Компенса-ция</w:t>
            </w:r>
          </w:p>
        </w:tc>
        <w:tc>
          <w:tcPr>
            <w:tcW w:w="10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60%</w:t>
            </w:r>
          </w:p>
        </w:tc>
        <w:tc>
          <w:tcPr>
            <w:tcW w:w="23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11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771"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8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20%</w:t>
            </w:r>
          </w:p>
        </w:tc>
        <w:tc>
          <w:tcPr>
            <w:tcW w:w="236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11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71"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88"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rFonts w:ascii="ALSStory;Arial" w:hAnsi="ALSStory;Arial"/>
                <w:color w:val="000000"/>
                <w:sz w:val="21"/>
              </w:rPr>
              <w:t>2</w:t>
            </w:r>
            <w:r>
              <w:rPr>
                <w:rStyle w:val="Style11"/>
                <w:rFonts w:ascii="ALSStory;Arial" w:hAnsi="ALSStory;Arial"/>
                <w:color w:val="000000"/>
                <w:sz w:val="21"/>
              </w:rPr>
              <w:t>%</w:t>
            </w:r>
          </w:p>
        </w:tc>
        <w:tc>
          <w:tcPr>
            <w:tcW w:w="236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Переход в эрозивно-язвенную форму</w:t>
            </w:r>
          </w:p>
        </w:tc>
        <w:tc>
          <w:tcPr>
            <w:tcW w:w="211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Через 6 мес после окончания лечения при отсутствии динамического наблюдения</w:t>
            </w:r>
          </w:p>
        </w:tc>
        <w:tc>
          <w:tcPr>
            <w:tcW w:w="230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7.8.16.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VIII. ГРАФИЧЕСКОЕ, СХЕМАТИЧЕСКОЕ И ТАБЛИЧНОЕ ПРЕДСТАВЛЕНИЕ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требуется.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IX. МОНИТОРИРОВАНИЕ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и методология мониторинга и оценки эффективности выполнения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проводится на всей территории Российской Федерации.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Перечень медицинских учреждений, в которых проводится мониторирование данного документа, определяется ежегодно учреждением,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ответственным за мониторирование. Медицинская организация информируется о включении в перечень по мониторированию протокола письменно.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включает в себя: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-сбор информации: о ведении пациентов с лейкоплакией в лечебно-профилактических учреждениях всех уровней;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-анализ полученных данных;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-составление отчета о результатах проведенного анализа;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-представление отчета группе разработчиков Протокола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Исходными данными при мониторировании являются: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медицинская документация - медицинская карта стоматологического больного (форма 043/у);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медицинские услуги;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стоматологические материалы и лекарственные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при мониторировании Протокола могут быть использованы иные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лечебно-профилактических учреждениях, определенных перечнем по мониторированию, раз в полгода на основании медицинской документации составляется карта пациента о лечении пациентов с лейкоплакией, соответствующих моделям пациента в данном протоколе.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анализируемые в процессе мониторинга показатели входят: критерии включения и исключения из Протокола, перечни медицинских услуг обязательного и дополнительного ассортимента, перечни лекарственных средств обязательного и дополнительного ассортимента, исходы заболевания, стоимость выполнения медицинской помощи по Протоколу и др.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ПРИНЦИПЫ РАНДОМИЗАЦИИ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данном Протоколе рандомизация (лечебных учреждений, пациентов и т. д.) не предусмотрена.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ОЦЕНКИ И ДОКУМЕНТИРОВАНИЯ ПОБОЧНЫХ ЭФФЕКТОВ И РАЗВИТИЯ ОСЛОЖНЕНИЙ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Информация о побочных эффектах и осложнениях, возникших в процессе диагностики и лечения больных, регистрируется в карте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ИСКЛЮЧЕНИЯ ПАЦИЕНТА ИЗ МОНИТОРИРОВАНИЯ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ПРОМЕЖУТОЧНАЯ ОЦЕНКА И ВНЕСЕНИЕ ИЗМЕНЕНИЙ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Оценка выполнения Протокола проводится один раз в год по результатам анализа сведений, полученных при мониторировании.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Внесение изменений в Протокол проводится в случае получения информации: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о наличии в Протоколе требований, наносящих урон здоровью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при получении убедительных данных о необходимости изменений требований Протокола обязательного уровня.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Решение об изменениях принимается группой разработчиков. Введение изменений требований Протокола в действие осуществляется Министерством здравоохранения Российской Федерации в установленном порядке.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ПАРАМЕТРЫ ОЦЕНКИ КАЧЕСТВА ЖИЗНИ ПРИ ВЫПОЛНЕНИИ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оценки качества жизни пациента с лейкоплакией, соответствующей моделям протокола, используют аналоговую шкалу.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ОЦЕНКА СТОИМОСТИ ВЫПОЛНЕНИЯ ПРОТОКОЛА И ЦЕНЫ КАЧЕСТВА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Клинико-экономический анализ проводится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СРАВНЕНИЕ РЕЗУЛЬТАТОВ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мониторировании Протокола ежегодно проводится сравнение результатов выполнения его требований, статистических данных, показателей деятельности лечебно-профилактических учреждений.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ФОРМИРОВАНИЯ ОТЧЕТА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Отчет представляется в Министерство здравоохранения Российской Федерации учреждением, ответственным за мониторирование данного Протокола. Результаты отчета могут быть опубликованы в открытой печати.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bidi w:val="0"/>
        <w:jc w:val="left"/>
        <w:rPr>
          <w:color w:val="000000"/>
        </w:rPr>
      </w:pPr>
      <w:r>
        <w:rPr>
          <w:color w:val="000000"/>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Перечень стоматологических материалов, инструментов и оборудования, необходимых для работы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Обязательный ассортимент: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Автоклав (стерилизатор паровой),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Аквадистиллятор (медицинский),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Автоклав для наконечников (стерилизатор паровой настольный)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Аппарат воздушно-абразивный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Аппарат для снятия зубных отложений ультразвуковой (скейлер);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Аспиратор (отсасыватель) хирургический,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Биксы (коробка стерилизационная для хранения стерильных инструментов и материала)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Диатермокоагулятор;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Инструменты стоматологические (мелкие):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финиры;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Инкубатор для проведения микробиологических тестов (CO</w:t>
      </w:r>
      <w:r>
        <w:rPr>
          <w:rFonts w:ascii="ALSStory;Arial" w:hAnsi="ALSStory;Arial"/>
          <w:b w:val="false"/>
          <w:i w:val="false"/>
          <w:caps w:val="false"/>
          <w:smallCaps w:val="false"/>
          <w:color w:val="000000"/>
          <w:spacing w:val="0"/>
          <w:position w:val="-2"/>
          <w:sz w:val="17"/>
          <w:sz w:val="21"/>
        </w:rPr>
        <w:t>2</w:t>
      </w:r>
      <w:r>
        <w:rPr>
          <w:rFonts w:ascii="ALSStory;Arial" w:hAnsi="ALSStory;Arial"/>
          <w:b w:val="false"/>
          <w:i w:val="false"/>
          <w:caps w:val="false"/>
          <w:smallCaps w:val="false"/>
          <w:color w:val="000000"/>
          <w:spacing w:val="0"/>
          <w:sz w:val="21"/>
        </w:rPr>
        <w:t> инкубатор для выращивания культур клеток и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Изделия одноразового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шприцы и иглы для инъекций,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скальпели в ассортименте,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маски,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перчатки смотровые, диагностические, хирургические,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бумажные нагрудные салфетки для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полотенца для рук в контейнере,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салфетки гигиенические,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медицинское белье для медицинского персонала,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перевязочные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слюноотсосы,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стаканы пластиковые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Инъектор стоматологический, для карпульной анестезии;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Камеры для хранения стерильных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Компрессор стоматологический (безмасляный);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Кресло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Крючки хирургические, зубчатые разных размеров;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Лампа (облучатель) бактерицидная для помещений;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Машина упаковочная (аппарат для предстерилизационной упаковки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Место рабочее (комплект оборудования) для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Набор аппаратов, инструментов, медикаментов, методических материалов и документов для оказания экстренной медицинской помощи при состояниях, угрожающих жизни (укладка-аптечка для оказания экстренной помощи при общесоматических осложнениях в условиях стоматологических кабинетов);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Набор (инструменты, щетки, диски, пасты) для шлифования и полирования пломб и зубных протезов;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Набор инструментов для осмотра рта (базовый):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лоток медицинский стоматологический,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зеркало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зонд стоматологический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пинцет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 зубные,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 широкая двухсторонняя,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гладилка-штопфер,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шпатель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Набор инструментов в ассортименте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крючки для снятия зубного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Набор инструментов для трахеотомии;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Набор инструментов, игл и шовного материала не менее 2 видов;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 Набор медикаментов для индивидуальной профилактики парентеральных инфекций (аптечка "анти-СПИД")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27. Набор реактивов для контроля (индикаторы) дезинфекции и стерилизации;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28. Наборы микробиологические (реагенты, реактивы для бактериологических исследований) для проведения тестов на кислотообразующую микрофлору при использовании инкубатора для проведения микробиологических тестов;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29. Наконечник стоматологический механический прямой;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30. Наконечник стоматологический механический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31. Наконечник стоматологический турбинный;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32 Ножницы в ассортименте не менее 3 на рабочее место врача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33. Отсасыватель пыли (стоматологический пылесос)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34. Отсасыватель слюны (стоматологический слюноотсос)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35. Очиститель ультразвуковой (устройство ультразвуковой очистки и дезинфекции инструментов и изделий);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36. Очки защитные;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37. Пинцеты;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38. Прибор и средства для очистки и смазки наконечников;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39. Прибор (установка) для утилизации шприцев;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40. Скальпели (держатели) и одноразовые лезвия в ассортименте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41. Средства и емкости-контейнеры для дезинфекции инструментов в соответствии с СанПиН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42. Стерилизатор стоматологический для мелкого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43. Стерилизатор суховоздушный;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44. Щитки защитные (от механического повреждения глаз)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45. Наборы диагностические для проведения тестов на выявление новообразований (скрининг) и контроля за лечением новообразований.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2</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визуального осмотра СОР, рекомендуемый ВОЗ (1997 год).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Осмотр СОР начинают с кожных покровов околоротовой области, красной каймы губ при открытом и закрытом рте, обращая внимание на цвет, блеск, консистенцию. При осмотре слизистой оболочку губ, переходной складки учитывают цвет, влажность, глубину преддверия рта, характер прикрепления уздечек, наличие тяжей; на слизистой оболочке губ, особенно нижней, в норме иногда обнаруживаются небольшие возвышения за счет наличия малых слюнных желез, что не является патологией.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слизистую оболочку щек (правой, затем левой) от угла рта до небной миндалины, замечая наличие или отсутствие пигментаций, изменений ее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линии смыкания зубов, чаще ближе к углу рта располагаются гранулы Фордайса. Эти бледно-желтые узелки, диаметром 1-2 мм не возвышаются над СОР, являются вариантом нормы. Нужно также помнить, что на уровне 17 и 27 зубов имеются сосочки, на которых открывается выводной проток околоушной железы, иногда принимаемой за отклонение.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Обращают внимание на десны и альвеолярный край. Сначала осматривают щечную и губную область десны, начиная с правого верхнего заднего участка, и затем перемещаются по дуге влево. Опускаются на нижнюю челюсть слева сзади и перемещаются вправо по дуге. Затем обследуют язычную и нёбную области дёсен: справа налево на верхней челюсти и слева направо вдоль нижней челюсти. На десне могут встречаться изменения цвета, опухоли и отечность различной формы и консистенции. По переходной складке исследуют свищевые ходы, которые возникают чаще всего в результате хронического воспалительного процесса в верхушечном периодонте.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язык, оценивая все виды сосочков языка, характер прикрепления уздечки. Регистрируют изменение цвета, сосудистого рисунка, рельефа дна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Небо осматривают при широко открытом рте и откинутой назад голове. Широким шпателем осторожно прижимают корень языка. С помощью зубоврачебного зеркала осматривают твердое и затем мягкое небо.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осмотра, при обнаружении элементов представляющих онконастороженность, необходима пальпация патологического очага. Это важный прием обследования больного предраковым заболеванием. Отмечают все неровности, уплотнения и другие патологические изменения. Особое внимание обращается на консистенцию патологического очага (мягкая, плотно-эластическая, плотная), размеры, характер его поверхности (ровная, бугристая), подвижность.</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3</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Элементы поражения кожи и слизистой оболочки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диагностике предраковых заболеваний определяющее значение имеет оценка морфологических элементов поражения кожи и слизистой оболочки, которые проявляются изменениями окраски и нарушениями рельефа поверхности.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Пятно (macula)</w:t>
      </w:r>
      <w:r>
        <w:rPr>
          <w:rFonts w:ascii="ALSStory;Arial" w:hAnsi="ALSStory;Arial"/>
          <w:b w:val="false"/>
          <w:i w:val="false"/>
          <w:caps w:val="false"/>
          <w:smallCaps w:val="false"/>
          <w:color w:val="000000"/>
          <w:spacing w:val="0"/>
          <w:sz w:val="21"/>
        </w:rPr>
        <w:t> – наиболее распространенный элемент поражения, связанный с изменением окраски. Различают пятна воспалительной (до 1,5 см в диаметре – розеола, большего диаметра – эритема) и не воспалительной природы (пигментное пятно).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Пигментные пятна, в свою очередь, бывают врожденные – невусы, и приобретенные – связанные с введением красителей под эпителиальный слой, возникшие при приеме препаратов висмута, а также вследствие поступления в организм свинца.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Узелок (nodus, papula) – </w:t>
      </w:r>
      <w:r>
        <w:rPr>
          <w:rFonts w:ascii="ALSStory;Arial" w:hAnsi="ALSStory;Arial"/>
          <w:b w:val="false"/>
          <w:i w:val="false"/>
          <w:caps w:val="false"/>
          <w:smallCaps w:val="false"/>
          <w:color w:val="000000"/>
          <w:spacing w:val="0"/>
          <w:sz w:val="21"/>
        </w:rPr>
        <w:t>бесполостной элемент, возвышающийся над уровнем неизмененной слизистой или кожи, белесоватого или перламутрового оттенка (на слизистой), синевато-коричневый (на коже), размером 0,1-0,5 мм. Слияние папул приводит к образованию</w:t>
      </w:r>
      <w:r>
        <w:rPr>
          <w:rStyle w:val="Style11"/>
          <w:rFonts w:ascii="ALSStory;Arial" w:hAnsi="ALSStory;Arial"/>
          <w:b w:val="false"/>
          <w:i w:val="false"/>
          <w:caps w:val="false"/>
          <w:smallCaps w:val="false"/>
          <w:color w:val="000000"/>
          <w:spacing w:val="0"/>
          <w:sz w:val="21"/>
        </w:rPr>
        <w:t> бляшки </w:t>
      </w:r>
      <w:r>
        <w:rPr>
          <w:rFonts w:ascii="ALSStory;Arial" w:hAnsi="ALSStory;Arial"/>
          <w:b w:val="false"/>
          <w:i w:val="false"/>
          <w:caps w:val="false"/>
          <w:smallCaps w:val="false"/>
          <w:color w:val="000000"/>
          <w:spacing w:val="0"/>
          <w:sz w:val="21"/>
        </w:rPr>
        <w:t>(размер более 0,5 мм).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 (nodus)</w:t>
      </w:r>
      <w:r>
        <w:rPr>
          <w:rFonts w:ascii="ALSStory;Arial" w:hAnsi="ALSStory;Arial"/>
          <w:b w:val="false"/>
          <w:i w:val="false"/>
          <w:caps w:val="false"/>
          <w:smallCaps w:val="false"/>
          <w:color w:val="000000"/>
          <w:spacing w:val="0"/>
          <w:sz w:val="21"/>
        </w:rPr>
        <w:t> – плотное инфильтративное образование значительной величины (с орех), развивающееся в коже и слизистой оболочке. Определяется в виде возвышения кожи синюшно-коричневого цвета и гиперемированной слизистой оболочки. Завершается размягчением и изъязвлением. В некоторых случаях может быть обратное развитие без образования рубца.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Бугорок (tuberculum)</w:t>
      </w:r>
      <w:r>
        <w:rPr>
          <w:rFonts w:ascii="ALSStory;Arial" w:hAnsi="ALSStory;Arial"/>
          <w:b w:val="false"/>
          <w:i w:val="false"/>
          <w:caps w:val="false"/>
          <w:smallCaps w:val="false"/>
          <w:color w:val="000000"/>
          <w:spacing w:val="0"/>
          <w:sz w:val="21"/>
        </w:rPr>
        <w:t> – бесполостное инфильтративное образование, размером 0,2 – 5,0 мм, локализующееся в коже или захватывающее все слои слизистой оболочки и имеющее склонность к распаду с образованием язвы и последующим рубцеванием.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Язва (ulcus) </w:t>
      </w:r>
      <w:r>
        <w:rPr>
          <w:rFonts w:ascii="ALSStory;Arial" w:hAnsi="ALSStory;Arial"/>
          <w:b w:val="false"/>
          <w:i w:val="false"/>
          <w:caps w:val="false"/>
          <w:smallCaps w:val="false"/>
          <w:color w:val="000000"/>
          <w:spacing w:val="0"/>
          <w:sz w:val="21"/>
        </w:rPr>
        <w:t>– дефект кожи или слизистой оболочки и подлежащих тканей. Заживает с образованием рубца. Дно и края язвы характеризуются различными особенностями, что имеет определенное дифференциально-диагностическое значение в разграничении неспецифических и специфических поражений и злокачественных опухолей.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Трещина (rhagades) </w:t>
      </w:r>
      <w:r>
        <w:rPr>
          <w:rFonts w:ascii="ALSStory;Arial" w:hAnsi="ALSStory;Arial"/>
          <w:b w:val="false"/>
          <w:i w:val="false"/>
          <w:caps w:val="false"/>
          <w:smallCaps w:val="false"/>
          <w:color w:val="000000"/>
          <w:spacing w:val="0"/>
          <w:sz w:val="21"/>
        </w:rPr>
        <w:t>– линейный дефект, возникающий при потере тканями эластичности на фоне острого или хронического воспалительного процесса. Различают трещины поверхностные (повреждение только эпителиального слоя) и глубокие (повреждены все слои слизистой и подлежащие ткани).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Чешуйка (squama) </w:t>
      </w:r>
      <w:r>
        <w:rPr>
          <w:rFonts w:ascii="ALSStory;Arial" w:hAnsi="ALSStory;Arial"/>
          <w:b w:val="false"/>
          <w:i w:val="false"/>
          <w:caps w:val="false"/>
          <w:smallCaps w:val="false"/>
          <w:color w:val="000000"/>
          <w:spacing w:val="0"/>
          <w:sz w:val="21"/>
        </w:rPr>
        <w:t>– отделяющийся конгломерат пластов ороговевших клеток. Цвет чешуек на коже белый, серый, буроватый, на красной кайме губ – светло-серый.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Корка (crusta)</w:t>
      </w:r>
      <w:r>
        <w:rPr>
          <w:rFonts w:ascii="ALSStory;Arial" w:hAnsi="ALSStory;Arial"/>
          <w:b w:val="false"/>
          <w:i w:val="false"/>
          <w:caps w:val="false"/>
          <w:smallCaps w:val="false"/>
          <w:color w:val="000000"/>
          <w:spacing w:val="0"/>
          <w:sz w:val="21"/>
        </w:rPr>
        <w:t> – засохшее отделяемое язв, эрозий. Особенно часто образуется при поражении красной каймы губ.</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Эрозия (erozia) </w:t>
      </w:r>
      <w:r>
        <w:rPr>
          <w:rFonts w:ascii="ALSStory;Arial" w:hAnsi="ALSStory;Arial"/>
          <w:b w:val="false"/>
          <w:i w:val="false"/>
          <w:caps w:val="false"/>
          <w:smallCaps w:val="false"/>
          <w:color w:val="000000"/>
          <w:spacing w:val="0"/>
          <w:sz w:val="21"/>
        </w:rPr>
        <w:t>– образуется после отпадения корки. Дно эрозии – эпителий или сосочковый слой соединительнотканной основы слизистой оболочки. Заживает, не оставляя следа. Однако в приротовой области иногда после заживления эрозии может иметь место пигментация.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Нарушение процессов ороговения при предраковых поражениях.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основе ороговения (кератинизации) лежат процессы формирования в клетках комплекса кератогиалин+тонофибриллы с образованием кератиновых фибрилл. Образующееся при этом роговое вещество состоит из кератина, кератогиалина и жирных кислот.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Различают физиологическое и патологическое ороговение. Первое происходит в эпидермисе и выполняет защитную функцию. Образующийся при этом роговой слой состоит из большого количества рядов плоских безъядерных клеток – роговых чешуек. Ороговение клеток эпидермиса протекает постепенно – начинается с базальных эпидермиоцитов и заканчивается образованием полностью ороговевших клеток рогового слоя. Физиологическое ороговение эпидермиса происходит постоянно и сопровождается постоянным отторжением ороговевших поверхностных чешуек.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Патологическое ороговение проявляется в виде дис-, гипер- и паракератоза, а также наблюдается там, где роговой слой в норме не образуется. Склонность слизистой рта к повышенному ороговению объясняется ее происхождением из эктодермы.</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Кератозы</w:t>
      </w:r>
      <w:r>
        <w:rPr>
          <w:rFonts w:ascii="ALSStory;Arial" w:hAnsi="ALSStory;Arial"/>
          <w:b w:val="false"/>
          <w:i w:val="false"/>
          <w:caps w:val="false"/>
          <w:smallCaps w:val="false"/>
          <w:color w:val="000000"/>
          <w:spacing w:val="0"/>
          <w:sz w:val="21"/>
        </w:rPr>
        <w:t> – группа заболеваний кожи и слизистых оболочек не воспалительного характера, характеризующиеся утолщением ороговевающего и образованием рогового слоев.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Дискератоз </w:t>
      </w:r>
      <w:r>
        <w:rPr>
          <w:rFonts w:ascii="ALSStory;Arial" w:hAnsi="ALSStory;Arial"/>
          <w:b w:val="false"/>
          <w:i w:val="false"/>
          <w:caps w:val="false"/>
          <w:smallCaps w:val="false"/>
          <w:color w:val="000000"/>
          <w:spacing w:val="0"/>
          <w:sz w:val="21"/>
        </w:rPr>
        <w:t>– нарушение процесса ороговения, выражающееся патологической кератинизацией отдельных эпидермальных клеток, лишенных межклеточных контактов и хаотично расположенных во всех отделах эпидермиса.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Гиперкератоз </w:t>
      </w:r>
      <w:r>
        <w:rPr>
          <w:rFonts w:ascii="ALSStory;Arial" w:hAnsi="ALSStory;Arial"/>
          <w:b w:val="false"/>
          <w:i w:val="false"/>
          <w:caps w:val="false"/>
          <w:smallCaps w:val="false"/>
          <w:color w:val="000000"/>
          <w:spacing w:val="0"/>
          <w:sz w:val="21"/>
        </w:rPr>
        <w:t>– чрезмерное утолщение рогового слоя эпидермиса, в результате избыточного образования кератина.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Паракератоз </w:t>
      </w:r>
      <w:r>
        <w:rPr>
          <w:rFonts w:ascii="ALSStory;Arial" w:hAnsi="ALSStory;Arial"/>
          <w:b w:val="false"/>
          <w:i w:val="false"/>
          <w:caps w:val="false"/>
          <w:smallCaps w:val="false"/>
          <w:color w:val="000000"/>
          <w:spacing w:val="0"/>
          <w:sz w:val="21"/>
        </w:rPr>
        <w:t>– нарушение процесса ороговения, связанное с потерей способности клеток эпидермиса вырабатывать кератогиалин. При этом отмечается утолщение рогового и частичное или полное исчезновение зернистого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Акантоз </w:t>
      </w:r>
      <w:r>
        <w:rPr>
          <w:rFonts w:ascii="ALSStory;Arial" w:hAnsi="ALSStory;Arial"/>
          <w:b w:val="false"/>
          <w:i w:val="false"/>
          <w:caps w:val="false"/>
          <w:smallCaps w:val="false"/>
          <w:color w:val="000000"/>
          <w:spacing w:val="0"/>
          <w:sz w:val="21"/>
        </w:rPr>
        <w:t>– утолщение эпидермиса кожи и эпителия слизистой оболочки за счет усиления пролиферации базальных и шиповидных клеток.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Схема-топограмма СОПР (Roed-Petersen &amp; Renstrup, 1969) для топографирования зон локализации элементов поражения в модификации Гилевой О.С. и соавт. (РП № 2436 от 22.02.08) с цветовой кодировкой зон поражения по ТК ВОЗ.</w:t>
      </w:r>
    </w:p>
    <w:p>
      <w:pPr>
        <w:pStyle w:val="Normal"/>
        <w:bidi w:val="0"/>
        <w:jc w:val="left"/>
        <w:rPr>
          <w:color w:val="000000"/>
        </w:rPr>
      </w:pPr>
      <w:r>
        <w:rPr>
          <w:color w:val="000000"/>
        </w:rPr>
      </w:r>
    </w:p>
    <w:p>
      <w:pPr>
        <w:pStyle w:val="Normal"/>
        <w:bidi w:val="0"/>
        <w:jc w:val="left"/>
        <w:rPr>
          <w:color w:val="000000"/>
        </w:rPr>
      </w:pPr>
      <w:r>
        <w:rPr>
          <w:color w:val="000000"/>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758180" cy="307594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758180" cy="3075940"/>
                    </a:xfrm>
                    <a:prstGeom prst="rect">
                      <a:avLst/>
                    </a:prstGeom>
                  </pic:spPr>
                </pic:pic>
              </a:graphicData>
            </a:graphic>
          </wp:anchor>
        </w:drawing>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t>Приложение 5</w:t>
      </w:r>
    </w:p>
    <w:p>
      <w:pPr>
        <w:pStyle w:val="Normal"/>
        <w:bidi w:val="0"/>
        <w:jc w:val="left"/>
        <w:rPr>
          <w:color w:val="000000"/>
        </w:rPr>
      </w:pPr>
      <w:r>
        <w:rPr>
          <w:color w:val="000000"/>
        </w:rPr>
        <w:t>Дополнение к карте для определения пародонтологического статуса пациента</w:t>
      </w:r>
    </w:p>
    <w:p>
      <w:pPr>
        <w:pStyle w:val="Normal"/>
        <w:bidi w:val="0"/>
        <w:jc w:val="left"/>
        <w:rPr>
          <w:color w:val="000000"/>
        </w:rPr>
      </w:pPr>
      <w:r>
        <w:rPr>
          <w:color w:val="000000"/>
        </w:rPr>
      </w:r>
    </w:p>
    <w:p>
      <w:pPr>
        <w:pStyle w:val="Normal"/>
        <w:bidi w:val="0"/>
        <w:jc w:val="left"/>
        <w:rPr>
          <w:color w:val="000000"/>
        </w:rPr>
      </w:pPr>
      <w:r>
        <w:rPr>
          <w:color w:val="000000"/>
        </w:rPr>
        <w:drawing>
          <wp:anchor behindDoc="0" distT="0" distB="0" distL="0" distR="0" simplePos="0" locked="0" layoutInCell="0" allowOverlap="1" relativeHeight="3">
            <wp:simplePos x="0" y="0"/>
            <wp:positionH relativeFrom="column">
              <wp:posOffset>378460</wp:posOffset>
            </wp:positionH>
            <wp:positionV relativeFrom="paragraph">
              <wp:posOffset>153670</wp:posOffset>
            </wp:positionV>
            <wp:extent cx="4580255" cy="3259455"/>
            <wp:effectExtent l="0" t="0" r="0" b="0"/>
            <wp:wrapSquare wrapText="largest"/>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4580255" cy="3259455"/>
                    </a:xfrm>
                    <a:prstGeom prst="rect">
                      <a:avLst/>
                    </a:prstGeom>
                  </pic:spPr>
                </pic:pic>
              </a:graphicData>
            </a:graphic>
          </wp:anchor>
        </w:drawing>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Style14"/>
        <w:bidi w:val="0"/>
        <w:jc w:val="left"/>
        <w:rPr>
          <w:color w:val="000000"/>
        </w:rPr>
      </w:pPr>
      <w:r>
        <w:rPr>
          <w:rStyle w:val="Style11"/>
          <w:rFonts w:ascii="ALSStory;Arial" w:hAnsi="ALSStory;Arial"/>
          <w:b w:val="false"/>
          <w:i w:val="false"/>
          <w:caps w:val="false"/>
          <w:smallCaps w:val="false"/>
          <w:color w:val="000000"/>
          <w:spacing w:val="0"/>
          <w:sz w:val="21"/>
        </w:rPr>
        <w:t>Приложение 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Алгоритмы определения индексов.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Грин – Вермиллиона</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Представляет собой двойной индекс, т.е. состоящий их двух компонент:</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первая компонента-это индекс зубного налета </w:t>
      </w:r>
      <w:r>
        <w:rPr>
          <w:rStyle w:val="Style11"/>
          <w:rFonts w:ascii="ALSStory;Arial" w:hAnsi="ALSStory;Arial"/>
          <w:b w:val="false"/>
          <w:i w:val="false"/>
          <w:caps w:val="false"/>
          <w:smallCaps w:val="false"/>
          <w:color w:val="000000"/>
          <w:spacing w:val="0"/>
          <w:sz w:val="21"/>
        </w:rPr>
        <w:t>(DI-S)</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вторая компонента-это индекс зубного камня </w:t>
      </w:r>
      <w:r>
        <w:rPr>
          <w:rStyle w:val="Style11"/>
          <w:rFonts w:ascii="ALSStory;Arial" w:hAnsi="ALSStory;Arial"/>
          <w:b w:val="false"/>
          <w:i w:val="false"/>
          <w:caps w:val="false"/>
          <w:smallCaps w:val="false"/>
          <w:color w:val="000000"/>
          <w:spacing w:val="0"/>
          <w:sz w:val="21"/>
        </w:rPr>
        <w:t>(CI-S)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r>
        <w:rPr>
          <w:rFonts w:ascii="ALSStory;Arial" w:hAnsi="ALSStory;Arial"/>
          <w:b w:val="false"/>
          <w:i w:val="false"/>
          <w:caps w:val="false"/>
          <w:smallCaps w:val="false"/>
          <w:color w:val="000000"/>
          <w:spacing w:val="0"/>
          <w:sz w:val="21"/>
        </w:rPr>
        <w:t>: Исследования проводят на вестибулярной поверхности зубов 16 11 26 31 и язычной поверхности зубов 36 и 46 с помощью стоматологического зонда и применения красителей.(флуоресцин натрия, эритрозин, синий цвет, флоксин 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DI-S:</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налета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1-налет покрывает не более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2-налет покрывает от 1\3 до 2\3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3-налет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CI-S</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1-наддесневой камень покрывает менее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2-наддесневой камень покрывает от 1\3 до 2\3 поверхности зуба или имеются отдельные частицы поддесневого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3-наддесневой камень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OHI-S=DI-S+CI-S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0,0-0,6 низкий (гигиена хорошая)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0,7-1,6 средний (гигиена 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1,7-2,5 высокий (гигиена неудовлетворительная)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2,6-6,0 очень высокий(гигиена плохая)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Силнесс-Лое.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Определяют толщину зубного налета в придесневой области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Окрашивать зубной налет не требуется. После высушивания зуба воздухом для выявления зубного налета используют стоматологическое зеркало и зонд.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Для определения индекса можно осмотреть все зубы или только 6 индексных зубов:</w:t>
      </w:r>
    </w:p>
    <w:tbl>
      <w:tblPr>
        <w:tblW w:w="5769" w:type="dxa"/>
        <w:jc w:val="left"/>
        <w:tblInd w:w="-7" w:type="dxa"/>
        <w:tblLayout w:type="fixed"/>
        <w:tblCellMar>
          <w:top w:w="75" w:type="dxa"/>
          <w:left w:w="75" w:type="dxa"/>
          <w:bottom w:w="75" w:type="dxa"/>
          <w:right w:w="75" w:type="dxa"/>
        </w:tblCellMar>
      </w:tblPr>
      <w:tblGrid>
        <w:gridCol w:w="345"/>
        <w:gridCol w:w="331"/>
        <w:gridCol w:w="405"/>
        <w:gridCol w:w="331"/>
        <w:gridCol w:w="405"/>
        <w:gridCol w:w="331"/>
        <w:gridCol w:w="331"/>
        <w:gridCol w:w="405"/>
        <w:gridCol w:w="405"/>
        <w:gridCol w:w="331"/>
        <w:gridCol w:w="331"/>
        <w:gridCol w:w="405"/>
        <w:gridCol w:w="331"/>
        <w:gridCol w:w="405"/>
        <w:gridCol w:w="331"/>
        <w:gridCol w:w="346"/>
      </w:tblGrid>
      <w:tr>
        <w:trPr/>
        <w:tc>
          <w:tcPr>
            <w:tcW w:w="345"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6"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r>
      <w:tr>
        <w:trPr/>
        <w:tc>
          <w:tcPr>
            <w:tcW w:w="345" w:type="dxa"/>
            <w:tcBorders>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16</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21</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24</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6"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r>
      <w:tr>
        <w:trPr/>
        <w:tc>
          <w:tcPr>
            <w:tcW w:w="345" w:type="dxa"/>
            <w:tcBorders>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44</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41</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sz w:val="21"/>
              </w:rPr>
              <w:t>36</w:t>
            </w:r>
          </w:p>
        </w:tc>
        <w:tc>
          <w:tcPr>
            <w:tcW w:w="331"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6"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r>
      <w:tr>
        <w:trPr/>
        <w:tc>
          <w:tcPr>
            <w:tcW w:w="345" w:type="dxa"/>
            <w:tcBorders>
              <w:left w:val="single" w:sz="6"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40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3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6"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r>
    </w:tbl>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В области каждого зуба осматривают 4 участка: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-дистально- 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-медиально- 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-язычный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Коды и критерии: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0 </w:t>
      </w:r>
      <w:r>
        <w:rPr>
          <w:rFonts w:ascii="ALSStory;Arial" w:hAnsi="ALSStory;Arial"/>
          <w:b w:val="false"/>
          <w:i w:val="false"/>
          <w:caps w:val="false"/>
          <w:smallCaps w:val="false"/>
          <w:color w:val="000000"/>
          <w:spacing w:val="0"/>
          <w:sz w:val="21"/>
        </w:rPr>
        <w:t>- нет налета.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 небольшое количество налета, выявляется только зондом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Применение: несмотря на то, что в исходной трактовке индекса окрашивающий раствор не применяли, его можно использовать, особенно для выявления данного кода.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 умеренный слой зубного налета в десневой области, видимый невооруженным глазом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 обильный налет, заполняющий нишу, образованную десневым краем и поверхностью зуба, а также межзубной промежуток</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 интенсивное отложение зубного налета в области десневого кармана и/ или на десневом крае и прилегающей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баллов)/(число обследованных поверхностей «4»)- значение для одного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балла всех зубов)/(на количество исследованных зубов) Значение для всех зубов.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кровоточивости Мюлеманна (в модификации Коуэла).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Используют для определения воспаления в тканях пародонта. Метод показателен при гингивите и пародонтите. В области «зубов Рамфьерда»,(16,21,24,36,41,44) с щечной и язычной (небной) сторон кончик пародонтального зонда без давления прижимают к стенке бороздки и медленно ведут от медиальной к дистальной стороне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Оценочная шкала следующая: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 если после этого кровоточивость отсутствует;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1-если кровоточивость появляется не раньше, чем через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2-если кровоточивость возникает или сразу после проведения кончиком зонда по стенке бороздки, или в пределах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3-если кровоточивость пациент отмечает при приеме пищи или чистке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Значение индекса = сумма показателей всех зубов /число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7</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Специальные методы исследования СОР и красной каймы губ.</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Стоматоскопия и хейлоскопия используются для диагностики поражений слизистой оболочки и красной каймы губ. Для этих целей используются кольпоскопы и фотодиагноскопы. В последнем случае можно проводить фотосъемку. Применяется простая и расширенная стоматоскопия. При расширенной стоматоскопии для получения большей четкости рисунка применяют тот или иной способ витальной окраски.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В этом плане перспективным для использования в диагностике предраковых заболеваний челюстно-лицевой области является метод трансиллюминации или трансиллюмоскопии, основанный на просвечивании тканей и оценке тенеобразований, возникающих при прохождении светового потока через объект исследования.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Методика трансиллюмоскопии. Световод осветителя ОС-150 с пучком «холодного» света (источник света — галогенная лампа накаливания 24 В, 150 В - А) подводят со стороны кожи в области проекции исследуемого патологического очагa, а трансиллюминационные картины оценивают со стороны слизистой оболочки рта или красной каймы губ. Были определены возможности трансиллюмоскопии в исследовании состояния мягких тканей губ, щеки и языка. При этом обнаруживались теневые изображения патологических очагов (рака, папиллом, гемангиом, веррукозной лейкоплакии). Наряду с теневым рисунком очага выявлялись прилежащие сосуды.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Оптическая когерентная томография используется для диагностики предраковых состояний слизистой оболочки рта. В частности установлено, что данное исследование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Радиоизотопное исследование используется для своевременного выявления начала малигнизации предопухолевых процессов (атипичные клетки интенсивно поглощают радиофармацевтические препараты).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Морфологическое исследование осуществляется цитологическим и гистологическим методами.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Цитологический метод диагностики предусматривает определение тонкой морфологической структуры клеток и их групп. Материал для исследования получают путем отпечатка, соскоба с эрозивной, язвенной поверхности или из свищевого хода, а также при помощи пункции из более глубоко расположенных опухолей, лимфатических узлов, кистозных и других полостей и из внутрикостных новообразований.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Гистологический метод основан на изучении тонкой морфологической структуры клеточного строения тканей организма. Материалом для исследования являются кусочки тканей, взятые оперативным путем специально для установления диагноза или удаленные во время оперативного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Иммуногистохимическое исследование выявляет клетки с повышенной митотической активностью, свидетельствующие о возможной малигнизации, позволяет определить иммунофенотип опухоли, исследовать ее биологические свойства, определить молекулярно-биологические факторы прогноза.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8</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Методика взятия биопсийного материала с участка слизистой оболочки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Биопсия</w:t>
      </w:r>
      <w:r>
        <w:rPr>
          <w:rFonts w:ascii="ALSStory;Arial" w:hAnsi="ALSStory;Arial"/>
          <w:b w:val="false"/>
          <w:i w:val="false"/>
          <w:caps w:val="false"/>
          <w:smallCaps w:val="false"/>
          <w:color w:val="000000"/>
          <w:spacing w:val="0"/>
          <w:sz w:val="21"/>
        </w:rPr>
        <w:t> — метод получения ткани живого организма для морфологического исследования с диагностической целью.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Существует несколько способов диагностических биопсий, используемых в стоматологии:</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при инцизионной биопсии</w:t>
      </w:r>
      <w:r>
        <w:rPr>
          <w:rFonts w:ascii="ALSStory;Arial" w:hAnsi="ALSStory;Arial"/>
          <w:b w:val="false"/>
          <w:i w:val="false"/>
          <w:caps w:val="false"/>
          <w:smallCaps w:val="false"/>
          <w:color w:val="000000"/>
          <w:spacing w:val="0"/>
          <w:sz w:val="21"/>
        </w:rPr>
        <w:t> иссекается только часть новообразования (при этом размеры иссекаемого фрагмента должны быть не меньше 1,0 х 1,0 см, иначе возникают трудности в трактовке морфологической картины для патологоанатома);</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эксцизионная биопсия</w:t>
      </w:r>
      <w:r>
        <w:rPr>
          <w:rFonts w:ascii="ALSStory;Arial" w:hAnsi="ALSStory;Arial"/>
          <w:b w:val="false"/>
          <w:i w:val="false"/>
          <w:caps w:val="false"/>
          <w:smallCaps w:val="false"/>
          <w:color w:val="000000"/>
          <w:spacing w:val="0"/>
          <w:sz w:val="21"/>
        </w:rPr>
        <w:t> – хирургическая операция, при которой для исследования удаляется полностью патологический очаг, примером может служить удаление папиллом, фибром, кист, смешанных опухолей, при этом в большинстве случаев диагностика и лечение проводятся одновременно;</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трепанобиопсия</w:t>
      </w:r>
      <w:r>
        <w:rPr>
          <w:rFonts w:ascii="ALSStory;Arial" w:hAnsi="ALSStory;Arial"/>
          <w:b w:val="false"/>
          <w:i w:val="false"/>
          <w:caps w:val="false"/>
          <w:smallCaps w:val="false"/>
          <w:color w:val="000000"/>
          <w:spacing w:val="0"/>
          <w:sz w:val="21"/>
        </w:rPr>
        <w:t> предполагает забор патологического материала из кости с помощью трепана;</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пункционная биопсия</w:t>
      </w:r>
      <w:r>
        <w:rPr>
          <w:rFonts w:ascii="ALSStory;Arial" w:hAnsi="ALSStory;Arial"/>
          <w:b w:val="false"/>
          <w:i w:val="false"/>
          <w:caps w:val="false"/>
          <w:smallCaps w:val="false"/>
          <w:color w:val="000000"/>
          <w:spacing w:val="0"/>
          <w:sz w:val="21"/>
        </w:rPr>
        <w:t> выполняется специальными иглами (например, игла Пятницкого), позволяющими получить столбик ткани. Применяется она при глубоко расположенных новообразованиях. Этот вид биопсии можно использовать для морфологического исследования увеличенных лимфатических узлов.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Материал, заготовленный для гистологического исследования, погружают в 10% раствор формалина. Количество фиксирующей жидкости должно быть достаточно большим и превосходить кусочек ткани в 10 раз и более. Погружение ткани в формалин необходимо производить сразу после забора материала, не допуская его подсыхания. Целесообразно использовать свежий раствор формалина; хранение его на свету приводит к снижению фиксирующих свойств. Фиксированный в формалине материал немедленно маркируется с указанием фамилии имени и отчества больного, фамилии врача, выполнившего биопсию, даты ее выполнения и направляется в морфологическую лабораторию, где производится его дальнейшая обработка.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9</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Контролируемая чистка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доказательства).</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Алгоритм обучения гигиене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 Пациентам с хроническими заболеваниями СОР рекомендуются мануальные зубные щетки средней (в стадии ремиссии) жесткости или мягкие зубные щетки из искусственной щетины (при обострении), а также электрические зубные щетки.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Следует обращать внимание на то, что рабочая часть зубной щетки должна располагаться од углом 45° к зубу, производить очищающие движения от десны к зубу, одновременно удаляя налет с зубов и десен. Жевательные поверхности зубов очищают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располагают перпендикулярно к окклюзионной плоскости зубов, при этом волокна должны находиться под острым углом к зубам и захватывать не только зубы, но и десну. Завершают чистку круговыми движениями зубной щетки при сомкнутых челюстях, осуществляя массаж десен. Выбор зубной пасты (лечебной, лечебно-профилактической или профилактической) определяется состоянием пародонта и стадией патологии СОР. При обострении процесса не рекомендуется использование зубных паст высокой степени абразивности или содержащих лаурилсульфат натрия в концентрации выше 1,5%; при сочетанных воспалительных заболеваниях пародонта рекомендуются зубные пасты с антимикробными компонентами (триклозан, фторид олова и др.)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качественной чистки контактных поверхностей зубов необходимо использовать межзубные ершики и зубные нити, для очищения поверхности языка – специальные зубные щетки с подушечкой для чистки языка, скребки для языка. По показаниям рекомендуется использование ополаскивателей, не содержащих спирт, ирригаторов для очищения труднодоступных участков слизистой полости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закрепления полученных навыков проводят контроль индивидуальной гигиены рта (контролируемая чистка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Алгоритм контролируемой чистки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это чистка зубов, которую пациент осуществляет самостоятельно в присутствии врача-стоматолога или гигиениста стоматологического.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Первое посещение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Чистка зубов пациентом в его обычной манере.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Следующее посещение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гигиенического индекса, при неудовлетворительном уровне гигиены рта — повторение процедуры. Пациента информируют о небходимости являться на профилактический осмотр к врачу при возникновении кровоточивости десен, но не реже 1 раза в год.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Алгоритм профессиональной гигиены рта 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Этапы профессиональной гигиены:</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обучение пациента индивидуальной гигиене рта;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контролируемая чистка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удаление зубных отложений;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полирование поверхностей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устранение факторов, способствующих скоплению зубного налета;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аппликации реминерализирующих и фторидсодержащих средств;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мотивация пациента к профилактике и лечению стоматологических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удалении зубных отложений (зубной камень, мягкий зубной налет) следует соблюдать ряд условий: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провести обработку рта раствором антисептика;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при выраженной гиперестезии зубов и отсутствии общих противопоказаний удаление зубных отложений нужно проводить под местным обезболиванием;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устранить факторы, способствующие скоплению зубного налета: удалить нависающие края пломб и неправильно изготовленные ортопедические конструкции, провести повторное полирование пломб.</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Форма добровольного информированного согласия пациента при выполнении протокола приложение к медицинской карте №_____</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предупрежден о возможных осложнениях во время и после лечения и дает добровольное согласие на медицинское вмешательство.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пациента (законный представитель пациента)_____________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врача 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«___»________________20___г.</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Дополнительная информация для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В острый период заболевания зубы необходимо чистить мягкой зубной щеткой с пастой два раза в день. После еды следует полоскать рот для удаления остатков пищи.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При возникновении кровоточивости при чистке зубов нельзя прекращать гигиенические процедуры. Если кровоточивость не проходит в течение 3- дней, необходимо обратиться к врачу.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Профессиональная гигиена должна проводиться не реже 1 раза в 6 месяцев у лечащего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Если после проведения профессиональной гигиены появилась повышенная чувствительность твердых тканей зубов, использовать специальные зубные пасты для снижения чувствительности зубов и обратиться к своему лечащему врачу-стоматологу.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Обязательно посещать плановые осмотры.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Необходимо полноценное и своевременное восстановление дефектов зубов и зубных рядов.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Устранение или нейтрализация действия профессиональных вредных факторов на пародонт.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Оздоровление условий труда, отдыха, питания и здоровый образ жизни.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Анкета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ФИО__________________________________________ Дата заполнения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Как Вы оцениваете Ваше общее самочувствие на сегодняшний день?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Отметьте, пожалуйста, на шкале значение, соответствующее состоянию Вашего здоровья.</w:t>
      </w:r>
    </w:p>
    <w:p>
      <w:pPr>
        <w:pStyle w:val="Normal"/>
        <w:bidi w:val="0"/>
        <w:jc w:val="left"/>
        <w:rPr>
          <w:color w:val="000000"/>
        </w:rPr>
      </w:pPr>
      <w:r>
        <w:rPr>
          <w:color w:val="000000"/>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4105275" cy="4429125"/>
            <wp:effectExtent l="0" t="0" r="0" b="0"/>
            <wp:wrapSquare wrapText="largest"/>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4105275" cy="4429125"/>
                    </a:xfrm>
                    <a:prstGeom prst="rect">
                      <a:avLst/>
                    </a:prstGeom>
                  </pic:spPr>
                </pic:pic>
              </a:graphicData>
            </a:graphic>
          </wp:anchor>
        </w:drawing>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Style14"/>
        <w:bidi w:val="0"/>
        <w:jc w:val="left"/>
        <w:rPr>
          <w:color w:val="000000"/>
        </w:rPr>
      </w:pPr>
      <w:r>
        <w:rPr>
          <w:rStyle w:val="Style11"/>
          <w:rFonts w:ascii="ALSStory;Arial" w:hAnsi="ALSStory;Arial"/>
          <w:b w:val="false"/>
          <w:i w:val="false"/>
          <w:caps w:val="false"/>
          <w:smallCaps w:val="false"/>
          <w:color w:val="000000"/>
          <w:spacing w:val="0"/>
          <w:sz w:val="21"/>
        </w:rPr>
        <w:t>Список литературы:</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Анисимова И.В., Недосеко В.Б., Ломиашвили Л.М. Клиника, диагностика и лечение заболеваний слизистой оболочки рта и губ. / Учебное пособие, Москва, Медицинская книга, издательство «Стоматология» г.Омск, - 2008. -194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Бернадский Ю.И. Основы челюстно-лицевой хирургии и хирургической стоматологии. – 3-е изд., перераб. и доп. – М.Медицинская литература, 2007. – 417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Банченко Г.В., Рыбаков А.И. Заболевания слизистой оболочки полости рта /Монография. М., «Медицина», 1978, 232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Борк К. Болезни слизистой оболочки полости рта и губ. Клиника, диагностика и лечение. Атлас и руководство: пер. с нем./Борк К., Бургдорф В., Хеде H. - М.: Мед. лит., 2011. – 448 стр.: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Боровский Е.В. Терапевтическая стоматология /Учебник, МИА –М.2007. – 840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Гилева О.С., Смирнова Е.Н., Позднякова А.А. и др. Структура, факторы риска и клинические особенности заболеваний слизистой полости рта (по данным лечебно-консультативного приема). Пермский медицинский журнал. – 2012. - №6, том 29. – с.18-24.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Данилевский Н.Ф., Леонтьев В.К., Несин А.Ф., Рахний Ж.И. Заболевания слизистой оболочки полости рта. /Учебное пособие, ОАО «Стоматология», Москва, 2001.- 271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Дмитриева Л.А., Максимовский Ю.М. Терапевтическая стоматология: национальное руководство. – М. : ГЭОТАР-Медиа, 2009. – 912 с. – (Серия «Национальные руководства»).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Ксембаев С.С., Нестеров О.В. Предраки слизистой оболочки рта, красной каймы губ и кожи лица. – изд. 2-е дополненное. – Казань: Издательство «Отечество», 2011. – 112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Ласкарис Д. Лечение заболеваний слизистой оболочки рта: Руководство для врачей. – М.: ООО «Медицинское информационное агентство», 2006. – 304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Машкиллейсон А.Л., Расулов М.М. Клиника, диагностика, лечение и профилактика лейкоплакии слизистой оболочки полости рта. /Методические рекомендации Москва, 1978,- 11с.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Машкиллейсон А.Л. Совершенствование лечения лейкоплакий слизистой оболочки рта / Методические рекомендации 1985, М. С. -3-6.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Морозова С.И., Савельева Н.А. Заболевания слизистой оболочки рта. /Атлас. Москва-МИА 2012, - 272с.: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Островский А.Д. Диссертация «Возможности оптической когерентной томографии в диагностики процесса пара- и гиперкератоза СОПР», 2008г.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Поддубная И.В. Онкология. Справочник практикующего врача. – М.: МЕДпресс-информ, 2009. – 768с. ;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Поражения слизистой оболочки ротовой полости белого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лейкоплакия, плоский лишай) : учеб.-метод. пособие / Л.Н. Дедова [ и др.]. – Минск: БГМУ, 2010. – 43с.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Рабинович И.М., Рабинович О.Ф., Островский А.Д., Новые возможности диагностики лейкоплакии слизистой оболочки полости рта. // Стоматология. -2007. – Спецвыпуск. – с. 37-40.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Рабинович О.Ф., Рабинович И.М., Разживина Н.В., Банченко Г.В. – М., 2008. -14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Робустова Т.Г. Хирургическая стоматология / Учебник, - 4-е изд., перераб. и доп. – М.: ОАО Издательство «Медицина», 2010. – 688с.: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Рыбаков А.И., Банченко Г.В. Заболевания слизистой оболочки полости рта М., «Медицина», 1978, 232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Сильвермен С. Заболевания полости рта / Сол Сильвермен, Л. Рой Эверсоул, Эдмонд Л. Трулав ; пер. с англ. – М. : МЕДпресс-информ, 2010. – 472 с. :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Стоматологическая документация на специализированном приеме больных с заболеваниями слизистой оболочки полости рта: Методические рекомендации для врачей - стоматологов. – Пермь, 2008. – 18 с. (Гилева О.С., Новиков А.Ю., Белева Н.С. и др.).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Фомина Ю.В., Гажва С.И. Оптическая когерентная томография в диагностике заболеваний слизистой оболочки рта / Нижегородский медицинский журнал – приложение «Стоматология». – 2003. – с.122-124.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Шебеко Л.В., Н.Э. Кедич Роль врача-стоматолога в профилактике онкологических заболеваний / УО «Белорусский государственный медицинский университет», г. Минск, 2011г.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Banoczy J. Oral leukoplakia. Akademiai Kiado, Budapest, 1982, 231 p.</w:t>
      </w:r>
    </w:p>
    <w:p>
      <w:pPr>
        <w:pStyle w:val="Normal"/>
        <w:bidi w:val="0"/>
        <w:jc w:val="left"/>
        <w:rPr>
          <w:color w:val="000000"/>
        </w:rPr>
      </w:pPr>
      <w:r>
        <w:rPr>
          <w:color w:val="000000"/>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Arial">
    <w:charset w:val="cc"/>
    <w:family w:val="swiss"/>
    <w:pitch w:val="variable"/>
  </w:font>
  <w:font w:name="Courier New">
    <w:charset w:val="cc"/>
    <w:family w:val="modern"/>
    <w:pitch w:val="fixed"/>
  </w:font>
  <w:font w:name="ALSStory">
    <w:altName w:val="Arial"/>
    <w:charset w:val="cc"/>
    <w:family w:val="auto"/>
    <w:pitch w:val="default"/>
  </w:font>
</w:fonts>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kern w:val="2"/>
        <w:sz w:val="24"/>
        <w:szCs w:val="24"/>
        <w:lang w:val="ru-RU"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Times New Roman" w:hAnsi="Times New Roman" w:eastAsia="NSimSun" w:cs="Arial Unicode MS"/>
      <w:color w:val="auto"/>
      <w:kern w:val="2"/>
      <w:sz w:val="24"/>
      <w:szCs w:val="24"/>
      <w:lang w:val="ru-RU" w:eastAsia="zh-CN" w:bidi="hi-IN"/>
    </w:rPr>
  </w:style>
  <w:style w:type="paragraph" w:styleId="1">
    <w:name w:val="Heading 1"/>
    <w:basedOn w:val="Style13"/>
    <w:next w:val="Style14"/>
    <w:qFormat/>
    <w:pPr>
      <w:numPr>
        <w:ilvl w:val="0"/>
        <w:numId w:val="0"/>
      </w:numPr>
      <w:spacing w:before="240" w:after="120"/>
      <w:outlineLvl w:val="0"/>
    </w:pPr>
    <w:rPr>
      <w:rFonts w:ascii="Times New Roman" w:hAnsi="Times New Roman" w:eastAsia="NSimSun" w:cs="Arial Unicode MS"/>
      <w:b/>
      <w:bCs/>
      <w:sz w:val="48"/>
      <w:szCs w:val="48"/>
    </w:rPr>
  </w:style>
  <w:style w:type="paragraph" w:styleId="2">
    <w:name w:val="Heading 2"/>
    <w:basedOn w:val="Style13"/>
    <w:next w:val="Style14"/>
    <w:qFormat/>
    <w:pPr>
      <w:numPr>
        <w:ilvl w:val="0"/>
        <w:numId w:val="0"/>
      </w:numPr>
      <w:spacing w:before="200" w:after="120"/>
      <w:outlineLvl w:val="1"/>
    </w:pPr>
    <w:rPr>
      <w:rFonts w:ascii="Times New Roman" w:hAnsi="Times New Roman" w:eastAsia="NSimSun" w:cs="Arial Unicode MS"/>
      <w:b/>
      <w:bCs/>
      <w:sz w:val="36"/>
      <w:szCs w:val="36"/>
    </w:rPr>
  </w:style>
  <w:style w:type="paragraph" w:styleId="3">
    <w:name w:val="Heading 3"/>
    <w:basedOn w:val="Style13"/>
    <w:next w:val="Style14"/>
    <w:qFormat/>
    <w:pPr>
      <w:numPr>
        <w:ilvl w:val="0"/>
        <w:numId w:val="0"/>
      </w:numPr>
      <w:spacing w:before="140" w:after="120"/>
      <w:outlineLvl w:val="2"/>
    </w:pPr>
    <w:rPr>
      <w:rFonts w:ascii="Times New Roman" w:hAnsi="Times New Roman" w:eastAsia="NSimSun" w:cs="Arial Unicode MS"/>
      <w:b/>
      <w:bCs/>
      <w:sz w:val="28"/>
      <w:szCs w:val="28"/>
    </w:rPr>
  </w:style>
  <w:style w:type="character" w:styleId="Style11">
    <w:name w:val="Strong"/>
    <w:qFormat/>
    <w:rPr>
      <w:b/>
      <w:bCs/>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Arial" w:hAnsi="Arial" w:eastAsia="Microsoft YaHei" w:cs="Arial Unicode M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Unicode MS"/>
    </w:rPr>
  </w:style>
  <w:style w:type="paragraph" w:styleId="Style16">
    <w:name w:val="Caption"/>
    <w:basedOn w:val="Normal"/>
    <w:qFormat/>
    <w:pPr>
      <w:suppressLineNumbers/>
      <w:spacing w:before="120" w:after="120"/>
    </w:pPr>
    <w:rPr>
      <w:rFonts w:cs="Arial Unicode MS"/>
      <w:i/>
      <w:iCs/>
      <w:sz w:val="24"/>
      <w:szCs w:val="24"/>
    </w:rPr>
  </w:style>
  <w:style w:type="paragraph" w:styleId="Style17">
    <w:name w:val="Указатель"/>
    <w:basedOn w:val="Normal"/>
    <w:qFormat/>
    <w:pPr>
      <w:suppressLineNumbers/>
    </w:pPr>
    <w:rPr>
      <w:rFonts w:cs="Arial Unicode MS"/>
      <w:lang w:val="zxx" w:eastAsia="zxx" w:bidi="zxx"/>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 w:type="paragraph" w:styleId="Style20">
    <w:name w:val="Текст в заданном формате"/>
    <w:basedOn w:val="Normal"/>
    <w:qFormat/>
    <w:pPr>
      <w:spacing w:before="0" w:after="0"/>
    </w:pPr>
    <w:rPr>
      <w:rFonts w:ascii="Courier New" w:hAnsi="Courier New" w:eastAsia="NSimSun" w:cs="Courier New"/>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33</TotalTime>
  <Application>LibreOffice/7.4.2.3$Windows_X86_64 LibreOffice_project/382eef1f22670f7f4118c8c2dd222ec7ad009daf</Application>
  <AppVersion>15.0000</AppVersion>
  <Pages>63</Pages>
  <Words>19883</Words>
  <Characters>151574</Characters>
  <CharactersWithSpaces>169400</CharactersWithSpaces>
  <Paragraphs>2459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2023-08-24T10:40:34Z</dcterms:created>
  <dc:creator/>
  <dc:description/>
  <dc:language>ru-RU</dc:language>
  <cp:lastModifiedBy/>
  <dcterms:modified xsi:type="dcterms:W3CDTF">2023-08-24T11:13:42Z</dcterms:modified>
  <cp:revision>1</cp:revision>
  <dc:subject/>
  <dc:title/>
</cp:coreProperties>
</file>